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CAD" w:rsidRDefault="00D85CAD" w:rsidP="00A97B9A">
      <w:pPr>
        <w:rPr>
          <w:b/>
          <w:bCs/>
          <w:sz w:val="24"/>
        </w:rPr>
      </w:pPr>
      <w:r>
        <w:rPr>
          <w:b/>
          <w:bCs/>
          <w:sz w:val="24"/>
        </w:rPr>
        <w:t>Site description</w:t>
      </w:r>
    </w:p>
    <w:p w:rsidR="00D85CAD" w:rsidRDefault="00D85CAD" w:rsidP="001E77AC">
      <w:pPr>
        <w:spacing w:line="360" w:lineRule="auto"/>
        <w:rPr>
          <w:sz w:val="24"/>
        </w:rPr>
      </w:pPr>
      <w:r>
        <w:rPr>
          <w:sz w:val="24"/>
        </w:rPr>
        <w:t xml:space="preserve">The mean annual temperature was -1 </w:t>
      </w:r>
      <w:r w:rsidRPr="00D4238F">
        <w:rPr>
          <w:sz w:val="24"/>
        </w:rPr>
        <w:t>°C</w:t>
      </w:r>
      <w:r>
        <w:rPr>
          <w:sz w:val="24"/>
        </w:rPr>
        <w:t xml:space="preserve"> and the mean annual precipitation was 390 mm. The studied sites were located on a gentle (~4˚), north-facing, and relatively upland slope. Permafrost temperature in this area has been monitored in a 30 m deep borehole near the Mo site since 1985. An organic layer </w:t>
      </w:r>
      <w:r w:rsidRPr="00FA7F45">
        <w:rPr>
          <w:sz w:val="24"/>
        </w:rPr>
        <w:t>of 45 cm to 65 cm</w:t>
      </w:r>
      <w:r>
        <w:rPr>
          <w:sz w:val="24"/>
        </w:rPr>
        <w:t xml:space="preserve"> in thickness covered the mineral soil composed mostly of glacial till and loess. The vegetation of </w:t>
      </w:r>
      <w:proofErr w:type="spellStart"/>
      <w:r>
        <w:rPr>
          <w:sz w:val="24"/>
        </w:rPr>
        <w:t>Mi</w:t>
      </w:r>
      <w:proofErr w:type="spellEnd"/>
      <w:r>
        <w:rPr>
          <w:sz w:val="24"/>
        </w:rPr>
        <w:t xml:space="preserve"> site was characterized of </w:t>
      </w:r>
      <w:proofErr w:type="spellStart"/>
      <w:r>
        <w:rPr>
          <w:sz w:val="24"/>
        </w:rPr>
        <w:t>graminoid</w:t>
      </w:r>
      <w:proofErr w:type="spellEnd"/>
      <w:r>
        <w:rPr>
          <w:sz w:val="24"/>
        </w:rPr>
        <w:t xml:space="preserve">-dominated tundra and was dominated by tussock-forming sedge </w:t>
      </w:r>
      <w:proofErr w:type="spellStart"/>
      <w:r w:rsidRPr="008E5743">
        <w:rPr>
          <w:i/>
          <w:sz w:val="24"/>
        </w:rPr>
        <w:t>Eriophorum</w:t>
      </w:r>
      <w:proofErr w:type="spellEnd"/>
      <w:r w:rsidRPr="008E5743">
        <w:rPr>
          <w:i/>
          <w:sz w:val="24"/>
        </w:rPr>
        <w:t xml:space="preserve"> </w:t>
      </w:r>
      <w:proofErr w:type="spellStart"/>
      <w:r w:rsidRPr="008E5743">
        <w:rPr>
          <w:i/>
          <w:sz w:val="24"/>
        </w:rPr>
        <w:t>vaginatum</w:t>
      </w:r>
      <w:proofErr w:type="spellEnd"/>
      <w:r>
        <w:rPr>
          <w:sz w:val="24"/>
        </w:rPr>
        <w:t xml:space="preserve"> with </w:t>
      </w:r>
      <w:r w:rsidRPr="008E5743">
        <w:rPr>
          <w:i/>
          <w:sz w:val="24"/>
        </w:rPr>
        <w:t>Sphagnum</w:t>
      </w:r>
      <w:r>
        <w:rPr>
          <w:sz w:val="24"/>
        </w:rPr>
        <w:t xml:space="preserve"> </w:t>
      </w:r>
      <w:r w:rsidRPr="00296B7B">
        <w:rPr>
          <w:i/>
          <w:sz w:val="24"/>
        </w:rPr>
        <w:t>spp.</w:t>
      </w:r>
      <w:r>
        <w:rPr>
          <w:sz w:val="24"/>
        </w:rPr>
        <w:t xml:space="preserve"> mosses and shrubs</w:t>
      </w:r>
      <w:r w:rsidRPr="00296B7B">
        <w:t xml:space="preserve"> </w:t>
      </w:r>
      <w:r>
        <w:rPr>
          <w:noProof/>
          <w:sz w:val="24"/>
        </w:rPr>
        <w:t>(Schuur</w:t>
      </w:r>
      <w:r w:rsidRPr="002B7E16">
        <w:rPr>
          <w:i/>
          <w:noProof/>
          <w:sz w:val="24"/>
        </w:rPr>
        <w:t xml:space="preserve"> et al.</w:t>
      </w:r>
      <w:r>
        <w:rPr>
          <w:noProof/>
          <w:sz w:val="24"/>
        </w:rPr>
        <w:t xml:space="preserve"> 2007)</w:t>
      </w:r>
      <w:r>
        <w:rPr>
          <w:sz w:val="24"/>
        </w:rPr>
        <w:t xml:space="preserve">. The vegetation shifted to shrub-dominated tundra in Ex, with the dominance of </w:t>
      </w:r>
      <w:proofErr w:type="spellStart"/>
      <w:r>
        <w:rPr>
          <w:i/>
          <w:sz w:val="24"/>
        </w:rPr>
        <w:t>Vaccinium</w:t>
      </w:r>
      <w:proofErr w:type="spellEnd"/>
      <w:r>
        <w:rPr>
          <w:i/>
          <w:sz w:val="24"/>
        </w:rPr>
        <w:t xml:space="preserve"> </w:t>
      </w:r>
      <w:proofErr w:type="spellStart"/>
      <w:r>
        <w:rPr>
          <w:i/>
          <w:sz w:val="24"/>
        </w:rPr>
        <w:t>ulignosum</w:t>
      </w:r>
      <w:proofErr w:type="spellEnd"/>
      <w:r>
        <w:rPr>
          <w:i/>
          <w:sz w:val="24"/>
        </w:rPr>
        <w:t xml:space="preserve"> </w:t>
      </w:r>
      <w:r>
        <w:rPr>
          <w:sz w:val="24"/>
        </w:rPr>
        <w:t xml:space="preserve">and </w:t>
      </w:r>
      <w:r>
        <w:rPr>
          <w:i/>
          <w:sz w:val="24"/>
        </w:rPr>
        <w:t xml:space="preserve">Sphagnum spp. </w:t>
      </w:r>
      <w:r>
        <w:rPr>
          <w:sz w:val="24"/>
        </w:rPr>
        <w:t xml:space="preserve">mosses. The Mo site was co-dominated by both </w:t>
      </w:r>
      <w:proofErr w:type="spellStart"/>
      <w:r>
        <w:rPr>
          <w:sz w:val="24"/>
        </w:rPr>
        <w:t>graminoids</w:t>
      </w:r>
      <w:proofErr w:type="spellEnd"/>
      <w:r>
        <w:rPr>
          <w:sz w:val="24"/>
        </w:rPr>
        <w:t xml:space="preserve"> and shrubs. </w:t>
      </w:r>
    </w:p>
    <w:p w:rsidR="00D85CAD" w:rsidRDefault="00D85CAD" w:rsidP="001E77AC">
      <w:pPr>
        <w:spacing w:line="360" w:lineRule="auto"/>
        <w:rPr>
          <w:sz w:val="24"/>
        </w:rPr>
      </w:pPr>
      <w:r>
        <w:rPr>
          <w:b/>
          <w:sz w:val="24"/>
        </w:rPr>
        <w:t xml:space="preserve">PCR </w:t>
      </w:r>
      <w:r w:rsidRPr="00D4238F">
        <w:rPr>
          <w:b/>
          <w:sz w:val="24"/>
        </w:rPr>
        <w:t>amplification and sequencing</w:t>
      </w:r>
    </w:p>
    <w:p w:rsidR="00D85CAD" w:rsidRDefault="00D85CAD" w:rsidP="001E77AC">
      <w:pPr>
        <w:spacing w:line="360" w:lineRule="auto"/>
        <w:rPr>
          <w:sz w:val="24"/>
        </w:rPr>
      </w:pPr>
      <w:r w:rsidRPr="00D4238F">
        <w:rPr>
          <w:rFonts w:hint="eastAsia"/>
          <w:sz w:val="24"/>
        </w:rPr>
        <w:t xml:space="preserve">PCR amplification was  performed in 25 </w:t>
      </w:r>
      <w:proofErr w:type="spellStart"/>
      <w:r w:rsidRPr="00D4238F">
        <w:rPr>
          <w:sz w:val="24"/>
        </w:rPr>
        <w:t>μ</w:t>
      </w:r>
      <w:r w:rsidRPr="00D4238F">
        <w:rPr>
          <w:rFonts w:hint="eastAsia"/>
          <w:sz w:val="24"/>
        </w:rPr>
        <w:t>l</w:t>
      </w:r>
      <w:proofErr w:type="spellEnd"/>
      <w:r w:rsidRPr="00D4238F">
        <w:rPr>
          <w:rFonts w:hint="eastAsia"/>
          <w:sz w:val="24"/>
        </w:rPr>
        <w:t xml:space="preserve"> </w:t>
      </w:r>
      <w:r w:rsidRPr="00D4238F">
        <w:rPr>
          <w:sz w:val="24"/>
        </w:rPr>
        <w:t xml:space="preserve">reactions </w:t>
      </w:r>
      <w:r w:rsidRPr="00D4238F">
        <w:rPr>
          <w:rFonts w:hint="eastAsia"/>
          <w:sz w:val="24"/>
        </w:rPr>
        <w:t>containing 2.5</w:t>
      </w:r>
      <w:r w:rsidRPr="00D4238F">
        <w:rPr>
          <w:sz w:val="24"/>
        </w:rPr>
        <w:t xml:space="preserve"> </w:t>
      </w:r>
      <w:proofErr w:type="spellStart"/>
      <w:r w:rsidRPr="00D4238F">
        <w:rPr>
          <w:sz w:val="24"/>
        </w:rPr>
        <w:t>μ</w:t>
      </w:r>
      <w:r w:rsidRPr="00D4238F">
        <w:rPr>
          <w:rFonts w:hint="eastAsia"/>
          <w:sz w:val="24"/>
        </w:rPr>
        <w:t>l</w:t>
      </w:r>
      <w:proofErr w:type="spellEnd"/>
      <w:r w:rsidRPr="00D4238F">
        <w:rPr>
          <w:rFonts w:hint="eastAsia"/>
          <w:sz w:val="24"/>
        </w:rPr>
        <w:t xml:space="preserve"> 10</w:t>
      </w:r>
      <w:r w:rsidRPr="00D4238F">
        <w:rPr>
          <w:rFonts w:hint="eastAsia"/>
          <w:sz w:val="24"/>
        </w:rPr>
        <w:t>×</w:t>
      </w:r>
      <w:proofErr w:type="spellStart"/>
      <w:r w:rsidRPr="00D4238F">
        <w:rPr>
          <w:rFonts w:hint="eastAsia"/>
          <w:sz w:val="24"/>
        </w:rPr>
        <w:t>AccuPrime</w:t>
      </w:r>
      <w:proofErr w:type="spellEnd"/>
      <w:r w:rsidRPr="00D4238F">
        <w:rPr>
          <w:rFonts w:hint="eastAsia"/>
          <w:sz w:val="24"/>
        </w:rPr>
        <w:t xml:space="preserve"> PCR buffer </w:t>
      </w:r>
      <w:r w:rsidRPr="00D4238F">
        <w:rPr>
          <w:rFonts w:hint="eastAsia"/>
          <w:sz w:val="24"/>
        </w:rPr>
        <w:t>Ⅱ</w:t>
      </w:r>
      <w:r w:rsidRPr="00D4238F">
        <w:rPr>
          <w:sz w:val="24"/>
        </w:rPr>
        <w:t xml:space="preserve">(including </w:t>
      </w:r>
      <w:proofErr w:type="spellStart"/>
      <w:r w:rsidRPr="00D4238F">
        <w:rPr>
          <w:sz w:val="24"/>
        </w:rPr>
        <w:t>dNTPs</w:t>
      </w:r>
      <w:proofErr w:type="spellEnd"/>
      <w:r w:rsidRPr="00D4238F">
        <w:rPr>
          <w:sz w:val="24"/>
        </w:rPr>
        <w:t>)</w:t>
      </w:r>
      <w:r w:rsidRPr="00D4238F">
        <w:rPr>
          <w:rFonts w:hint="eastAsia"/>
          <w:sz w:val="24"/>
        </w:rPr>
        <w:t xml:space="preserve"> (</w:t>
      </w:r>
      <w:r w:rsidRPr="00D4238F">
        <w:rPr>
          <w:sz w:val="24"/>
        </w:rPr>
        <w:t>Invitrogen, Grand Island, NY)</w:t>
      </w:r>
      <w:r w:rsidRPr="00D4238F">
        <w:rPr>
          <w:rFonts w:hint="eastAsia"/>
          <w:sz w:val="24"/>
        </w:rPr>
        <w:t xml:space="preserve">, 0.4 </w:t>
      </w:r>
      <w:r w:rsidRPr="00D4238F">
        <w:rPr>
          <w:rFonts w:hint="eastAsia"/>
          <w:sz w:val="24"/>
        </w:rPr>
        <w:sym w:font="Symbol" w:char="F06D"/>
      </w:r>
      <w:r w:rsidRPr="00D4238F">
        <w:rPr>
          <w:sz w:val="24"/>
        </w:rPr>
        <w:t>M</w:t>
      </w:r>
      <w:r w:rsidRPr="00D4238F">
        <w:rPr>
          <w:rFonts w:hint="eastAsia"/>
          <w:sz w:val="24"/>
        </w:rPr>
        <w:t xml:space="preserve"> of </w:t>
      </w:r>
      <w:r w:rsidRPr="00D4238F">
        <w:rPr>
          <w:sz w:val="24"/>
        </w:rPr>
        <w:t xml:space="preserve">both forward and reverse </w:t>
      </w:r>
      <w:r w:rsidRPr="00D4238F">
        <w:rPr>
          <w:rFonts w:hint="eastAsia"/>
          <w:sz w:val="24"/>
        </w:rPr>
        <w:t>primer</w:t>
      </w:r>
      <w:r w:rsidRPr="00D4238F">
        <w:rPr>
          <w:sz w:val="24"/>
        </w:rPr>
        <w:t>s</w:t>
      </w:r>
      <w:r w:rsidRPr="00D4238F">
        <w:rPr>
          <w:rFonts w:hint="eastAsia"/>
          <w:sz w:val="24"/>
        </w:rPr>
        <w:t xml:space="preserve">, </w:t>
      </w:r>
      <w:r w:rsidRPr="00D4238F">
        <w:rPr>
          <w:sz w:val="24"/>
        </w:rPr>
        <w:t xml:space="preserve">10 ng </w:t>
      </w:r>
      <w:r w:rsidRPr="00D4238F">
        <w:rPr>
          <w:rFonts w:hint="eastAsia"/>
          <w:sz w:val="24"/>
        </w:rPr>
        <w:t>template DNA</w:t>
      </w:r>
      <w:r w:rsidRPr="00D4238F">
        <w:rPr>
          <w:sz w:val="24"/>
        </w:rPr>
        <w:t xml:space="preserve"> </w:t>
      </w:r>
      <w:r w:rsidRPr="00D4238F">
        <w:rPr>
          <w:rFonts w:hint="eastAsia"/>
          <w:sz w:val="24"/>
        </w:rPr>
        <w:t>and 0.</w:t>
      </w:r>
      <w:r w:rsidRPr="00D4238F">
        <w:rPr>
          <w:sz w:val="24"/>
        </w:rPr>
        <w:t>2</w:t>
      </w:r>
      <w:r w:rsidRPr="00D4238F">
        <w:rPr>
          <w:rFonts w:hint="eastAsia"/>
          <w:sz w:val="24"/>
        </w:rPr>
        <w:t xml:space="preserve"> </w:t>
      </w:r>
      <w:r w:rsidRPr="00D4238F">
        <w:rPr>
          <w:sz w:val="24"/>
        </w:rPr>
        <w:t>U</w:t>
      </w:r>
      <w:r w:rsidRPr="00D4238F">
        <w:rPr>
          <w:rFonts w:hint="eastAsia"/>
          <w:sz w:val="24"/>
        </w:rPr>
        <w:t xml:space="preserve"> </w:t>
      </w:r>
      <w:proofErr w:type="spellStart"/>
      <w:r w:rsidRPr="00D4238F">
        <w:rPr>
          <w:rFonts w:hint="eastAsia"/>
          <w:sz w:val="24"/>
        </w:rPr>
        <w:t>AccuPrime</w:t>
      </w:r>
      <w:proofErr w:type="spellEnd"/>
      <w:r w:rsidRPr="00D4238F">
        <w:rPr>
          <w:rFonts w:hint="eastAsia"/>
          <w:sz w:val="24"/>
        </w:rPr>
        <w:t xml:space="preserve"> High Fidelity</w:t>
      </w:r>
      <w:r w:rsidRPr="00D4238F">
        <w:rPr>
          <w:sz w:val="24"/>
        </w:rPr>
        <w:t xml:space="preserve"> </w:t>
      </w:r>
      <w:proofErr w:type="spellStart"/>
      <w:r w:rsidRPr="00D4238F">
        <w:rPr>
          <w:sz w:val="24"/>
        </w:rPr>
        <w:t>Taq</w:t>
      </w:r>
      <w:proofErr w:type="spellEnd"/>
      <w:r w:rsidRPr="00D4238F">
        <w:rPr>
          <w:sz w:val="24"/>
        </w:rPr>
        <w:t xml:space="preserve"> Polymerase</w:t>
      </w:r>
      <w:r w:rsidRPr="00D4238F">
        <w:rPr>
          <w:rFonts w:hint="eastAsia"/>
          <w:sz w:val="24"/>
        </w:rPr>
        <w:t xml:space="preserve">. </w:t>
      </w:r>
      <w:r>
        <w:rPr>
          <w:sz w:val="24"/>
        </w:rPr>
        <w:t>Tri</w:t>
      </w:r>
      <w:r w:rsidRPr="00D4238F">
        <w:rPr>
          <w:sz w:val="24"/>
        </w:rPr>
        <w:t xml:space="preserve">plicates of amplification were made for each sample and mixed after PCR amplification to minimize potential biases from amplification </w:t>
      </w:r>
      <w:r>
        <w:rPr>
          <w:noProof/>
          <w:sz w:val="24"/>
        </w:rPr>
        <w:t>(Zhou</w:t>
      </w:r>
      <w:r w:rsidRPr="002B7E16">
        <w:rPr>
          <w:i/>
          <w:noProof/>
          <w:sz w:val="24"/>
        </w:rPr>
        <w:t xml:space="preserve"> et al.</w:t>
      </w:r>
      <w:r>
        <w:rPr>
          <w:noProof/>
          <w:sz w:val="24"/>
        </w:rPr>
        <w:t xml:space="preserve"> 2011)</w:t>
      </w:r>
      <w:r w:rsidRPr="00D4238F">
        <w:rPr>
          <w:sz w:val="24"/>
        </w:rPr>
        <w:t>. Thermal cycling conditions were as follows: initial denaturation at 94°C for 1 min, followed by 30 cycles of 94</w:t>
      </w:r>
      <w:r>
        <w:rPr>
          <w:sz w:val="24"/>
        </w:rPr>
        <w:t xml:space="preserve"> </w:t>
      </w:r>
      <w:r w:rsidRPr="00D4238F">
        <w:rPr>
          <w:sz w:val="24"/>
        </w:rPr>
        <w:t>°C for 20 s, 53</w:t>
      </w:r>
      <w:r>
        <w:rPr>
          <w:sz w:val="24"/>
        </w:rPr>
        <w:t xml:space="preserve"> </w:t>
      </w:r>
      <w:r w:rsidRPr="00D4238F">
        <w:rPr>
          <w:sz w:val="24"/>
        </w:rPr>
        <w:t>°C for 25 s, and 68</w:t>
      </w:r>
      <w:r>
        <w:rPr>
          <w:sz w:val="24"/>
        </w:rPr>
        <w:t xml:space="preserve"> </w:t>
      </w:r>
      <w:r w:rsidRPr="00D4238F">
        <w:rPr>
          <w:sz w:val="24"/>
        </w:rPr>
        <w:t>°C for 45 s, with final extension at 68</w:t>
      </w:r>
      <w:r>
        <w:rPr>
          <w:sz w:val="24"/>
        </w:rPr>
        <w:t xml:space="preserve"> </w:t>
      </w:r>
      <w:r w:rsidRPr="00D4238F">
        <w:rPr>
          <w:sz w:val="24"/>
        </w:rPr>
        <w:t xml:space="preserve">°C for 10 min. A total of 200 ng PCR product from each sample was pooled together and purified through </w:t>
      </w:r>
      <w:proofErr w:type="spellStart"/>
      <w:r w:rsidRPr="00D4238F">
        <w:rPr>
          <w:sz w:val="24"/>
        </w:rPr>
        <w:t>QIAquick</w:t>
      </w:r>
      <w:proofErr w:type="spellEnd"/>
      <w:r w:rsidRPr="00D4238F">
        <w:rPr>
          <w:sz w:val="24"/>
        </w:rPr>
        <w:t xml:space="preserve"> Gel Extraction Kit (</w:t>
      </w:r>
      <w:proofErr w:type="spellStart"/>
      <w:r w:rsidRPr="00D4238F">
        <w:rPr>
          <w:sz w:val="24"/>
        </w:rPr>
        <w:t>Qiagen</w:t>
      </w:r>
      <w:proofErr w:type="spellEnd"/>
      <w:r w:rsidRPr="00D4238F">
        <w:rPr>
          <w:sz w:val="24"/>
        </w:rPr>
        <w:t xml:space="preserve">, Valencia, CA). Sample libraries for sequencing were prepared according to the </w:t>
      </w:r>
      <w:proofErr w:type="spellStart"/>
      <w:r w:rsidRPr="00D4238F">
        <w:rPr>
          <w:sz w:val="24"/>
        </w:rPr>
        <w:t>MiSeqTM</w:t>
      </w:r>
      <w:proofErr w:type="spellEnd"/>
      <w:r w:rsidRPr="00D4238F">
        <w:rPr>
          <w:sz w:val="24"/>
        </w:rPr>
        <w:t xml:space="preserve"> Reagent Kit Preparation Guide (</w:t>
      </w:r>
      <w:proofErr w:type="spellStart"/>
      <w:r w:rsidRPr="00D4238F">
        <w:rPr>
          <w:sz w:val="24"/>
        </w:rPr>
        <w:t>Illumina</w:t>
      </w:r>
      <w:proofErr w:type="spellEnd"/>
      <w:r w:rsidRPr="00D4238F">
        <w:rPr>
          <w:sz w:val="24"/>
        </w:rPr>
        <w:t xml:space="preserve">, San Diego, CA, USA) and the protocol described previously </w:t>
      </w:r>
      <w:r>
        <w:rPr>
          <w:noProof/>
          <w:sz w:val="24"/>
        </w:rPr>
        <w:t>(Caporaso</w:t>
      </w:r>
      <w:r w:rsidRPr="009760E7">
        <w:rPr>
          <w:i/>
          <w:noProof/>
          <w:sz w:val="24"/>
        </w:rPr>
        <w:t xml:space="preserve"> et al.</w:t>
      </w:r>
      <w:r>
        <w:rPr>
          <w:noProof/>
          <w:sz w:val="24"/>
        </w:rPr>
        <w:t xml:space="preserve"> 2012; Caporaso</w:t>
      </w:r>
      <w:r w:rsidRPr="009760E7">
        <w:rPr>
          <w:i/>
          <w:noProof/>
          <w:sz w:val="24"/>
        </w:rPr>
        <w:t xml:space="preserve"> et al.</w:t>
      </w:r>
      <w:r>
        <w:rPr>
          <w:noProof/>
          <w:sz w:val="24"/>
        </w:rPr>
        <w:t xml:space="preserve"> 2011)</w:t>
      </w:r>
      <w:r w:rsidRPr="00D4238F">
        <w:rPr>
          <w:sz w:val="24"/>
        </w:rPr>
        <w:t xml:space="preserve">. Briefly, sample denaturation was performed by mixing 10 µl of combined PCR products (2 </w:t>
      </w:r>
      <w:proofErr w:type="spellStart"/>
      <w:r w:rsidRPr="00D4238F">
        <w:rPr>
          <w:sz w:val="24"/>
        </w:rPr>
        <w:t>nM</w:t>
      </w:r>
      <w:proofErr w:type="spellEnd"/>
      <w:r w:rsidRPr="00D4238F">
        <w:rPr>
          <w:sz w:val="24"/>
        </w:rPr>
        <w:t xml:space="preserve">) and 10 µl 0.1 M </w:t>
      </w:r>
      <w:proofErr w:type="spellStart"/>
      <w:r w:rsidRPr="00D4238F">
        <w:rPr>
          <w:sz w:val="24"/>
        </w:rPr>
        <w:t>NaOH</w:t>
      </w:r>
      <w:proofErr w:type="spellEnd"/>
      <w:r w:rsidRPr="00D4238F">
        <w:rPr>
          <w:sz w:val="24"/>
        </w:rPr>
        <w:t xml:space="preserve">. Denatured DNA was diluted to 8 </w:t>
      </w:r>
      <w:proofErr w:type="spellStart"/>
      <w:r w:rsidRPr="00D4238F">
        <w:rPr>
          <w:sz w:val="24"/>
        </w:rPr>
        <w:t>pM</w:t>
      </w:r>
      <w:proofErr w:type="spellEnd"/>
      <w:r w:rsidRPr="00D4238F">
        <w:rPr>
          <w:sz w:val="24"/>
        </w:rPr>
        <w:t xml:space="preserve"> and mixed with equal volume of 8 </w:t>
      </w:r>
      <w:proofErr w:type="spellStart"/>
      <w:r w:rsidRPr="00D4238F">
        <w:rPr>
          <w:sz w:val="24"/>
        </w:rPr>
        <w:t>pM</w:t>
      </w:r>
      <w:proofErr w:type="spellEnd"/>
      <w:r w:rsidRPr="00D4238F">
        <w:rPr>
          <w:sz w:val="24"/>
        </w:rPr>
        <w:t xml:space="preserve"> </w:t>
      </w:r>
      <w:proofErr w:type="spellStart"/>
      <w:r w:rsidRPr="00D4238F">
        <w:rPr>
          <w:sz w:val="24"/>
        </w:rPr>
        <w:t>Phix</w:t>
      </w:r>
      <w:proofErr w:type="spellEnd"/>
      <w:r w:rsidRPr="00D4238F">
        <w:rPr>
          <w:sz w:val="24"/>
        </w:rPr>
        <w:t xml:space="preserve"> library. A total of 600 µl sample mixture, together with customized sequencing primers for forward, reverse, and index reads, were loaded into the corresponding wells on the reagent cartridge of a </w:t>
      </w:r>
      <w:proofErr w:type="spellStart"/>
      <w:r w:rsidRPr="00D4238F">
        <w:rPr>
          <w:sz w:val="24"/>
        </w:rPr>
        <w:t>Miseq</w:t>
      </w:r>
      <w:proofErr w:type="spellEnd"/>
      <w:r w:rsidRPr="00D4238F">
        <w:rPr>
          <w:sz w:val="24"/>
        </w:rPr>
        <w:t xml:space="preserve"> 300 cycles kit and run on </w:t>
      </w:r>
      <w:proofErr w:type="spellStart"/>
      <w:r w:rsidRPr="00D4238F">
        <w:rPr>
          <w:sz w:val="24"/>
        </w:rPr>
        <w:t>Miseq</w:t>
      </w:r>
      <w:proofErr w:type="spellEnd"/>
      <w:r w:rsidRPr="00D4238F">
        <w:rPr>
          <w:sz w:val="24"/>
        </w:rPr>
        <w:t xml:space="preserve"> for 2x150 </w:t>
      </w:r>
      <w:proofErr w:type="spellStart"/>
      <w:r w:rsidRPr="00D4238F">
        <w:rPr>
          <w:sz w:val="24"/>
        </w:rPr>
        <w:t>bp</w:t>
      </w:r>
      <w:proofErr w:type="spellEnd"/>
      <w:r w:rsidRPr="00D4238F">
        <w:rPr>
          <w:sz w:val="24"/>
        </w:rPr>
        <w:t xml:space="preserve"> paired-ends sequencing (</w:t>
      </w:r>
      <w:proofErr w:type="spellStart"/>
      <w:r w:rsidRPr="00D4238F">
        <w:rPr>
          <w:sz w:val="24"/>
        </w:rPr>
        <w:t>Illumina</w:t>
      </w:r>
      <w:proofErr w:type="spellEnd"/>
      <w:r w:rsidRPr="00D4238F">
        <w:rPr>
          <w:sz w:val="24"/>
        </w:rPr>
        <w:t>, San Diego, CA).</w:t>
      </w:r>
    </w:p>
    <w:p w:rsidR="00D85CAD" w:rsidRDefault="00D85CAD" w:rsidP="00A97B9A">
      <w:pPr>
        <w:jc w:val="both"/>
        <w:rPr>
          <w:b/>
          <w:bCs/>
          <w:sz w:val="24"/>
        </w:rPr>
      </w:pPr>
      <w:r>
        <w:rPr>
          <w:b/>
          <w:bCs/>
          <w:sz w:val="24"/>
        </w:rPr>
        <w:br w:type="page"/>
      </w:r>
    </w:p>
    <w:p w:rsidR="00D85CAD" w:rsidRDefault="00D85CAD" w:rsidP="00826500">
      <w:pPr>
        <w:jc w:val="center"/>
        <w:rPr>
          <w:sz w:val="24"/>
        </w:rPr>
      </w:pPr>
      <w:r w:rsidRPr="008C5B71">
        <w:rPr>
          <w:b/>
          <w:bCs/>
          <w:sz w:val="24"/>
        </w:rPr>
        <w:lastRenderedPageBreak/>
        <w:t>Table S</w:t>
      </w:r>
      <w:r>
        <w:rPr>
          <w:b/>
          <w:bCs/>
          <w:sz w:val="24"/>
        </w:rPr>
        <w:t>1</w:t>
      </w:r>
      <w:r w:rsidRPr="008C5B71">
        <w:rPr>
          <w:sz w:val="24"/>
        </w:rPr>
        <w:t xml:space="preserve">: </w:t>
      </w:r>
      <w:r>
        <w:rPr>
          <w:sz w:val="24"/>
        </w:rPr>
        <w:t>Variation of soil physical-chemical characteristics with</w:t>
      </w:r>
      <w:r w:rsidRPr="008C5B71">
        <w:rPr>
          <w:sz w:val="24"/>
        </w:rPr>
        <w:t xml:space="preserve"> soi</w:t>
      </w:r>
      <w:r>
        <w:rPr>
          <w:sz w:val="24"/>
        </w:rPr>
        <w:t>l</w:t>
      </w:r>
      <w:r w:rsidRPr="008C5B71">
        <w:rPr>
          <w:sz w:val="24"/>
        </w:rPr>
        <w:t xml:space="preserve"> </w:t>
      </w:r>
      <w:r>
        <w:rPr>
          <w:sz w:val="24"/>
        </w:rPr>
        <w:t>depth and soil layers</w:t>
      </w:r>
    </w:p>
    <w:tbl>
      <w:tblPr>
        <w:tblStyle w:val="TableGrid"/>
        <w:tblW w:w="738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0"/>
        <w:gridCol w:w="2045"/>
        <w:gridCol w:w="1622"/>
        <w:gridCol w:w="448"/>
        <w:gridCol w:w="1890"/>
      </w:tblGrid>
      <w:tr w:rsidR="00D85CAD" w:rsidRPr="00150910" w:rsidTr="003235D6">
        <w:trPr>
          <w:trHeight w:val="300"/>
          <w:jc w:val="center"/>
        </w:trPr>
        <w:tc>
          <w:tcPr>
            <w:tcW w:w="1380" w:type="dxa"/>
            <w:noWrap/>
          </w:tcPr>
          <w:p w:rsidR="00D85CAD" w:rsidRPr="00150910" w:rsidRDefault="00D85CAD" w:rsidP="003235D6">
            <w:pPr>
              <w:jc w:val="center"/>
              <w:rPr>
                <w:rFonts w:ascii="Calibri" w:eastAsia="Times New Roman" w:hAnsi="Calibri" w:cs="Times New Roman"/>
                <w:color w:val="000000"/>
              </w:rPr>
            </w:pPr>
          </w:p>
        </w:tc>
        <w:tc>
          <w:tcPr>
            <w:tcW w:w="3667" w:type="dxa"/>
            <w:gridSpan w:val="2"/>
            <w:tcBorders>
              <w:bottom w:val="single" w:sz="4" w:space="0" w:color="auto"/>
            </w:tcBorders>
            <w:noWrap/>
          </w:tcPr>
          <w:p w:rsidR="00D85CAD" w:rsidRPr="00150910" w:rsidRDefault="00D85CAD" w:rsidP="003235D6">
            <w:pPr>
              <w:jc w:val="center"/>
              <w:rPr>
                <w:rFonts w:ascii="Calibri" w:eastAsia="Times New Roman" w:hAnsi="Calibri" w:cs="Times New Roman"/>
                <w:color w:val="000000"/>
              </w:rPr>
            </w:pPr>
            <w:r>
              <w:rPr>
                <w:rFonts w:ascii="Calibri" w:eastAsia="Times New Roman" w:hAnsi="Calibri" w:cs="Times New Roman"/>
                <w:color w:val="000000"/>
              </w:rPr>
              <w:t>With soil depth</w:t>
            </w:r>
          </w:p>
        </w:tc>
        <w:tc>
          <w:tcPr>
            <w:tcW w:w="448" w:type="dxa"/>
          </w:tcPr>
          <w:p w:rsidR="00D85CAD" w:rsidRPr="00150910" w:rsidRDefault="00D85CAD" w:rsidP="003235D6">
            <w:pPr>
              <w:jc w:val="center"/>
              <w:rPr>
                <w:rFonts w:ascii="Calibri" w:eastAsia="Times New Roman" w:hAnsi="Calibri" w:cs="Times New Roman"/>
                <w:color w:val="000000"/>
              </w:rPr>
            </w:pPr>
          </w:p>
        </w:tc>
        <w:tc>
          <w:tcPr>
            <w:tcW w:w="1890" w:type="dxa"/>
            <w:tcBorders>
              <w:bottom w:val="single" w:sz="4" w:space="0" w:color="auto"/>
            </w:tcBorders>
            <w:noWrap/>
          </w:tcPr>
          <w:p w:rsidR="00D85CAD" w:rsidRPr="00150910" w:rsidRDefault="00D85CAD" w:rsidP="003235D6">
            <w:pPr>
              <w:jc w:val="center"/>
              <w:rPr>
                <w:rFonts w:ascii="Calibri" w:eastAsia="Times New Roman" w:hAnsi="Calibri" w:cs="Times New Roman"/>
                <w:color w:val="000000"/>
              </w:rPr>
            </w:pPr>
            <w:r>
              <w:rPr>
                <w:rFonts w:ascii="Calibri" w:eastAsia="Times New Roman" w:hAnsi="Calibri" w:cs="Times New Roman"/>
                <w:color w:val="000000"/>
              </w:rPr>
              <w:t>W</w:t>
            </w:r>
            <w:r w:rsidRPr="00150910">
              <w:rPr>
                <w:rFonts w:ascii="Calibri" w:eastAsia="Times New Roman" w:hAnsi="Calibri" w:cs="Times New Roman"/>
                <w:color w:val="000000"/>
              </w:rPr>
              <w:t>ith soil layers</w:t>
            </w:r>
          </w:p>
        </w:tc>
      </w:tr>
      <w:tr w:rsidR="00D85CAD" w:rsidRPr="00150910" w:rsidTr="003235D6">
        <w:trPr>
          <w:trHeight w:val="300"/>
          <w:jc w:val="center"/>
        </w:trPr>
        <w:tc>
          <w:tcPr>
            <w:tcW w:w="1380" w:type="dxa"/>
            <w:tcBorders>
              <w:bottom w:val="single" w:sz="4" w:space="0" w:color="auto"/>
            </w:tcBorders>
            <w:noWrap/>
            <w:hideMark/>
          </w:tcPr>
          <w:p w:rsidR="00D85CAD" w:rsidRPr="00150910" w:rsidRDefault="00D85CAD" w:rsidP="003235D6">
            <w:pPr>
              <w:jc w:val="center"/>
              <w:rPr>
                <w:rFonts w:ascii="Calibri" w:eastAsia="Times New Roman" w:hAnsi="Calibri" w:cs="Times New Roman"/>
                <w:color w:val="000000"/>
              </w:rPr>
            </w:pPr>
          </w:p>
        </w:tc>
        <w:tc>
          <w:tcPr>
            <w:tcW w:w="2045" w:type="dxa"/>
            <w:tcBorders>
              <w:top w:val="single" w:sz="4" w:space="0" w:color="auto"/>
              <w:bottom w:val="single" w:sz="4" w:space="0" w:color="auto"/>
            </w:tcBorders>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 xml:space="preserve">Correlation </w:t>
            </w:r>
          </w:p>
        </w:tc>
        <w:tc>
          <w:tcPr>
            <w:tcW w:w="1622" w:type="dxa"/>
            <w:tcBorders>
              <w:top w:val="single" w:sz="4" w:space="0" w:color="auto"/>
              <w:bottom w:val="single" w:sz="4" w:space="0" w:color="auto"/>
            </w:tcBorders>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 xml:space="preserve">Pearson </w:t>
            </w:r>
            <w:r w:rsidRPr="00150910">
              <w:rPr>
                <w:rFonts w:ascii="Calibri" w:eastAsia="Times New Roman" w:hAnsi="Calibri" w:cs="Times New Roman"/>
                <w:b/>
                <w:i/>
                <w:color w:val="000000"/>
              </w:rPr>
              <w:t>P</w:t>
            </w:r>
          </w:p>
        </w:tc>
        <w:tc>
          <w:tcPr>
            <w:tcW w:w="448" w:type="dxa"/>
            <w:tcBorders>
              <w:bottom w:val="single" w:sz="4" w:space="0" w:color="auto"/>
            </w:tcBorders>
          </w:tcPr>
          <w:p w:rsidR="00D85CAD" w:rsidRPr="00150910" w:rsidRDefault="00D85CAD" w:rsidP="003235D6">
            <w:pPr>
              <w:jc w:val="center"/>
              <w:rPr>
                <w:rFonts w:ascii="Calibri" w:eastAsia="Times New Roman" w:hAnsi="Calibri" w:cs="Times New Roman"/>
                <w:color w:val="000000"/>
              </w:rPr>
            </w:pPr>
          </w:p>
        </w:tc>
        <w:tc>
          <w:tcPr>
            <w:tcW w:w="1890" w:type="dxa"/>
            <w:tcBorders>
              <w:top w:val="single" w:sz="4" w:space="0" w:color="auto"/>
              <w:bottom w:val="single" w:sz="4" w:space="0" w:color="auto"/>
            </w:tcBorders>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 xml:space="preserve">ANOVA </w:t>
            </w:r>
            <w:r w:rsidRPr="00150910">
              <w:rPr>
                <w:rFonts w:ascii="Calibri" w:eastAsia="Times New Roman" w:hAnsi="Calibri" w:cs="Times New Roman"/>
                <w:b/>
                <w:i/>
                <w:color w:val="000000"/>
              </w:rPr>
              <w:t>P</w:t>
            </w:r>
          </w:p>
        </w:tc>
      </w:tr>
      <w:tr w:rsidR="00D85CAD" w:rsidRPr="00150910" w:rsidTr="003235D6">
        <w:trPr>
          <w:trHeight w:val="300"/>
          <w:jc w:val="center"/>
        </w:trPr>
        <w:tc>
          <w:tcPr>
            <w:tcW w:w="1380" w:type="dxa"/>
            <w:tcBorders>
              <w:top w:val="single" w:sz="4" w:space="0" w:color="auto"/>
            </w:tcBorders>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Water</w:t>
            </w:r>
            <w:r>
              <w:rPr>
                <w:rFonts w:ascii="Calibri" w:eastAsia="Times New Roman" w:hAnsi="Calibri" w:cs="Times New Roman"/>
                <w:color w:val="000000"/>
              </w:rPr>
              <w:t xml:space="preserve"> </w:t>
            </w:r>
            <w:r w:rsidRPr="00150910">
              <w:rPr>
                <w:rFonts w:ascii="Calibri" w:eastAsia="Times New Roman" w:hAnsi="Calibri" w:cs="Times New Roman"/>
                <w:color w:val="000000"/>
              </w:rPr>
              <w:t>%</w:t>
            </w:r>
          </w:p>
        </w:tc>
        <w:tc>
          <w:tcPr>
            <w:tcW w:w="2045" w:type="dxa"/>
            <w:tcBorders>
              <w:top w:val="single" w:sz="4" w:space="0" w:color="auto"/>
            </w:tcBorders>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-0.00616</w:t>
            </w:r>
          </w:p>
        </w:tc>
        <w:tc>
          <w:tcPr>
            <w:tcW w:w="1622" w:type="dxa"/>
            <w:tcBorders>
              <w:top w:val="single" w:sz="4" w:space="0" w:color="auto"/>
            </w:tcBorders>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w:t>
            </w:r>
          </w:p>
        </w:tc>
        <w:tc>
          <w:tcPr>
            <w:tcW w:w="448" w:type="dxa"/>
            <w:tcBorders>
              <w:top w:val="single" w:sz="4" w:space="0" w:color="auto"/>
            </w:tcBorders>
          </w:tcPr>
          <w:p w:rsidR="00D85CAD" w:rsidRPr="00150910" w:rsidRDefault="00D85CAD" w:rsidP="003235D6">
            <w:pPr>
              <w:jc w:val="center"/>
              <w:rPr>
                <w:rFonts w:ascii="Calibri" w:eastAsia="Times New Roman" w:hAnsi="Calibri" w:cs="Times New Roman"/>
                <w:color w:val="000000"/>
              </w:rPr>
            </w:pPr>
          </w:p>
        </w:tc>
        <w:tc>
          <w:tcPr>
            <w:tcW w:w="1890" w:type="dxa"/>
            <w:tcBorders>
              <w:top w:val="single" w:sz="4" w:space="0" w:color="auto"/>
            </w:tcBorders>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w:t>
            </w:r>
          </w:p>
        </w:tc>
      </w:tr>
      <w:tr w:rsidR="00D85CAD" w:rsidRPr="00150910" w:rsidTr="003235D6">
        <w:trPr>
          <w:trHeight w:val="300"/>
          <w:jc w:val="center"/>
        </w:trPr>
        <w:tc>
          <w:tcPr>
            <w:tcW w:w="1380" w:type="dxa"/>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pH</w:t>
            </w:r>
          </w:p>
        </w:tc>
        <w:tc>
          <w:tcPr>
            <w:tcW w:w="2045" w:type="dxa"/>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0.0162</w:t>
            </w:r>
          </w:p>
        </w:tc>
        <w:tc>
          <w:tcPr>
            <w:tcW w:w="1622" w:type="dxa"/>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w:t>
            </w:r>
          </w:p>
        </w:tc>
        <w:tc>
          <w:tcPr>
            <w:tcW w:w="448" w:type="dxa"/>
          </w:tcPr>
          <w:p w:rsidR="00D85CAD" w:rsidRPr="00150910" w:rsidRDefault="00D85CAD" w:rsidP="003235D6">
            <w:pPr>
              <w:jc w:val="center"/>
              <w:rPr>
                <w:rFonts w:ascii="Calibri" w:eastAsia="Times New Roman" w:hAnsi="Calibri" w:cs="Times New Roman"/>
                <w:color w:val="000000"/>
              </w:rPr>
            </w:pPr>
          </w:p>
        </w:tc>
        <w:tc>
          <w:tcPr>
            <w:tcW w:w="1890" w:type="dxa"/>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w:t>
            </w:r>
          </w:p>
        </w:tc>
      </w:tr>
      <w:tr w:rsidR="00D85CAD" w:rsidRPr="00150910" w:rsidTr="003235D6">
        <w:trPr>
          <w:trHeight w:val="300"/>
          <w:jc w:val="center"/>
        </w:trPr>
        <w:tc>
          <w:tcPr>
            <w:tcW w:w="1380" w:type="dxa"/>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C</w:t>
            </w:r>
            <w:r>
              <w:rPr>
                <w:rFonts w:ascii="Calibri" w:eastAsia="Times New Roman" w:hAnsi="Calibri" w:cs="Times New Roman"/>
                <w:color w:val="000000"/>
              </w:rPr>
              <w:t xml:space="preserve"> </w:t>
            </w:r>
            <w:r w:rsidRPr="00150910">
              <w:rPr>
                <w:rFonts w:ascii="Calibri" w:eastAsia="Times New Roman" w:hAnsi="Calibri" w:cs="Times New Roman"/>
                <w:color w:val="000000"/>
              </w:rPr>
              <w:t>%</w:t>
            </w:r>
          </w:p>
        </w:tc>
        <w:tc>
          <w:tcPr>
            <w:tcW w:w="2045" w:type="dxa"/>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-0.395</w:t>
            </w:r>
          </w:p>
        </w:tc>
        <w:tc>
          <w:tcPr>
            <w:tcW w:w="1622" w:type="dxa"/>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w:t>
            </w:r>
          </w:p>
        </w:tc>
        <w:tc>
          <w:tcPr>
            <w:tcW w:w="448" w:type="dxa"/>
          </w:tcPr>
          <w:p w:rsidR="00D85CAD" w:rsidRPr="00150910" w:rsidRDefault="00D85CAD" w:rsidP="003235D6">
            <w:pPr>
              <w:jc w:val="center"/>
              <w:rPr>
                <w:rFonts w:ascii="Calibri" w:eastAsia="Times New Roman" w:hAnsi="Calibri" w:cs="Times New Roman"/>
                <w:color w:val="000000"/>
              </w:rPr>
            </w:pPr>
          </w:p>
        </w:tc>
        <w:tc>
          <w:tcPr>
            <w:tcW w:w="1890" w:type="dxa"/>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w:t>
            </w:r>
          </w:p>
        </w:tc>
      </w:tr>
      <w:tr w:rsidR="00D85CAD" w:rsidRPr="00150910" w:rsidTr="003235D6">
        <w:trPr>
          <w:trHeight w:val="300"/>
          <w:jc w:val="center"/>
        </w:trPr>
        <w:tc>
          <w:tcPr>
            <w:tcW w:w="1380" w:type="dxa"/>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N</w:t>
            </w:r>
            <w:r>
              <w:rPr>
                <w:rFonts w:ascii="Calibri" w:eastAsia="Times New Roman" w:hAnsi="Calibri" w:cs="Times New Roman"/>
                <w:color w:val="000000"/>
              </w:rPr>
              <w:t xml:space="preserve"> </w:t>
            </w:r>
            <w:r w:rsidRPr="00150910">
              <w:rPr>
                <w:rFonts w:ascii="Calibri" w:eastAsia="Times New Roman" w:hAnsi="Calibri" w:cs="Times New Roman"/>
                <w:color w:val="000000"/>
              </w:rPr>
              <w:t>%</w:t>
            </w:r>
          </w:p>
        </w:tc>
        <w:tc>
          <w:tcPr>
            <w:tcW w:w="2045" w:type="dxa"/>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-0.00552</w:t>
            </w:r>
          </w:p>
        </w:tc>
        <w:tc>
          <w:tcPr>
            <w:tcW w:w="1622" w:type="dxa"/>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w:t>
            </w:r>
          </w:p>
        </w:tc>
        <w:tc>
          <w:tcPr>
            <w:tcW w:w="448" w:type="dxa"/>
          </w:tcPr>
          <w:p w:rsidR="00D85CAD" w:rsidRPr="00150910" w:rsidRDefault="00D85CAD" w:rsidP="003235D6">
            <w:pPr>
              <w:jc w:val="center"/>
              <w:rPr>
                <w:rFonts w:ascii="Calibri" w:eastAsia="Times New Roman" w:hAnsi="Calibri" w:cs="Times New Roman"/>
                <w:color w:val="000000"/>
              </w:rPr>
            </w:pPr>
          </w:p>
        </w:tc>
        <w:tc>
          <w:tcPr>
            <w:tcW w:w="1890" w:type="dxa"/>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w:t>
            </w:r>
          </w:p>
        </w:tc>
      </w:tr>
      <w:tr w:rsidR="00D85CAD" w:rsidRPr="00150910" w:rsidTr="003235D6">
        <w:trPr>
          <w:trHeight w:val="300"/>
          <w:jc w:val="center"/>
        </w:trPr>
        <w:tc>
          <w:tcPr>
            <w:tcW w:w="1380" w:type="dxa"/>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Bulk Density</w:t>
            </w:r>
          </w:p>
        </w:tc>
        <w:tc>
          <w:tcPr>
            <w:tcW w:w="2045" w:type="dxa"/>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0.00471</w:t>
            </w:r>
          </w:p>
        </w:tc>
        <w:tc>
          <w:tcPr>
            <w:tcW w:w="1622" w:type="dxa"/>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w:t>
            </w:r>
          </w:p>
        </w:tc>
        <w:tc>
          <w:tcPr>
            <w:tcW w:w="448" w:type="dxa"/>
          </w:tcPr>
          <w:p w:rsidR="00D85CAD" w:rsidRPr="00150910" w:rsidRDefault="00D85CAD" w:rsidP="003235D6">
            <w:pPr>
              <w:jc w:val="center"/>
              <w:rPr>
                <w:rFonts w:ascii="Calibri" w:eastAsia="Times New Roman" w:hAnsi="Calibri" w:cs="Times New Roman"/>
                <w:color w:val="000000"/>
              </w:rPr>
            </w:pPr>
          </w:p>
        </w:tc>
        <w:tc>
          <w:tcPr>
            <w:tcW w:w="1890" w:type="dxa"/>
            <w:noWrap/>
            <w:hideMark/>
          </w:tcPr>
          <w:p w:rsidR="00D85CAD" w:rsidRPr="00150910" w:rsidRDefault="00D85CAD" w:rsidP="003235D6">
            <w:pPr>
              <w:jc w:val="center"/>
              <w:rPr>
                <w:rFonts w:ascii="Calibri" w:eastAsia="Times New Roman" w:hAnsi="Calibri" w:cs="Times New Roman"/>
                <w:color w:val="000000"/>
              </w:rPr>
            </w:pPr>
            <w:r w:rsidRPr="00150910">
              <w:rPr>
                <w:rFonts w:ascii="Calibri" w:eastAsia="Times New Roman" w:hAnsi="Calibri" w:cs="Times New Roman"/>
                <w:color w:val="000000"/>
              </w:rPr>
              <w:t>***</w:t>
            </w:r>
          </w:p>
        </w:tc>
      </w:tr>
    </w:tbl>
    <w:p w:rsidR="00D85CAD" w:rsidRPr="008C5B71" w:rsidRDefault="00D85CAD" w:rsidP="00826500">
      <w:pPr>
        <w:jc w:val="center"/>
        <w:rPr>
          <w:sz w:val="24"/>
        </w:rPr>
      </w:pPr>
      <w:r>
        <w:rPr>
          <w:sz w:val="24"/>
        </w:rPr>
        <w:t xml:space="preserve"> </w:t>
      </w:r>
      <w:r w:rsidRPr="00C963A3">
        <w:t xml:space="preserve">*** </w:t>
      </w:r>
      <w:r w:rsidRPr="00C963A3">
        <w:rPr>
          <w:b/>
          <w:i/>
        </w:rPr>
        <w:t>P</w:t>
      </w:r>
      <w:r w:rsidRPr="00C963A3">
        <w:t xml:space="preserve"> &lt;</w:t>
      </w:r>
      <w:r w:rsidRPr="00C963A3">
        <w:rPr>
          <w:b/>
        </w:rPr>
        <w:t xml:space="preserve"> </w:t>
      </w:r>
      <w:r w:rsidRPr="00C963A3">
        <w:t>0.001</w:t>
      </w:r>
      <w:r w:rsidR="00F014FA">
        <w:t>,</w:t>
      </w:r>
      <w:r w:rsidRPr="00C963A3">
        <w:t xml:space="preserve"> ** </w:t>
      </w:r>
      <w:r w:rsidRPr="00C963A3">
        <w:rPr>
          <w:b/>
          <w:i/>
        </w:rPr>
        <w:t>P</w:t>
      </w:r>
      <w:r w:rsidRPr="00C963A3">
        <w:t xml:space="preserve"> &lt; 0.01 </w:t>
      </w:r>
    </w:p>
    <w:p w:rsidR="00D85CAD" w:rsidRDefault="00D85CAD">
      <w:pPr>
        <w:rPr>
          <w:sz w:val="24"/>
        </w:rPr>
      </w:pPr>
      <w:r>
        <w:rPr>
          <w:sz w:val="24"/>
        </w:rPr>
        <w:br w:type="page"/>
      </w:r>
    </w:p>
    <w:p w:rsidR="00D85CAD" w:rsidRDefault="00D85CAD" w:rsidP="00B574C6">
      <w:pPr>
        <w:rPr>
          <w:sz w:val="24"/>
        </w:rPr>
      </w:pPr>
      <w:r>
        <w:rPr>
          <w:noProof/>
          <w:sz w:val="24"/>
        </w:rPr>
        <w:lastRenderedPageBreak/>
        <w:drawing>
          <wp:inline distT="0" distB="0" distL="0" distR="0" wp14:anchorId="64057C79" wp14:editId="264506DA">
            <wp:extent cx="5943600" cy="3569435"/>
            <wp:effectExtent l="0" t="0" r="0" b="0"/>
            <wp:docPr id="1" name="Picture 1" descr="C:\Users\jason\Pictures\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on\Pictures\S1-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569435"/>
                    </a:xfrm>
                    <a:prstGeom prst="rect">
                      <a:avLst/>
                    </a:prstGeom>
                    <a:noFill/>
                    <a:ln>
                      <a:noFill/>
                    </a:ln>
                  </pic:spPr>
                </pic:pic>
              </a:graphicData>
            </a:graphic>
          </wp:inline>
        </w:drawing>
      </w:r>
    </w:p>
    <w:p w:rsidR="00D85CAD" w:rsidRPr="00D2600C" w:rsidRDefault="00D85CAD" w:rsidP="00D2600C">
      <w:pPr>
        <w:rPr>
          <w:sz w:val="24"/>
        </w:rPr>
      </w:pPr>
      <w:r w:rsidRPr="00D2600C">
        <w:rPr>
          <w:b/>
          <w:bCs/>
          <w:sz w:val="24"/>
        </w:rPr>
        <w:t>Figure S1</w:t>
      </w:r>
      <w:r w:rsidRPr="00D2600C">
        <w:rPr>
          <w:sz w:val="24"/>
        </w:rPr>
        <w:t xml:space="preserve">. Changes of moisture, pH, C and N content, as well as bulk density along soil depth. </w:t>
      </w:r>
    </w:p>
    <w:p w:rsidR="00D85CAD" w:rsidRDefault="00D85CAD">
      <w:pPr>
        <w:rPr>
          <w:sz w:val="24"/>
        </w:rPr>
      </w:pPr>
      <w:r>
        <w:rPr>
          <w:sz w:val="24"/>
        </w:rPr>
        <w:br w:type="page"/>
      </w:r>
    </w:p>
    <w:p w:rsidR="00D85CAD" w:rsidRPr="008C5B71" w:rsidRDefault="00D85CAD" w:rsidP="00826500">
      <w:pPr>
        <w:rPr>
          <w:sz w:val="24"/>
        </w:rPr>
      </w:pPr>
      <w:r w:rsidRPr="008C5B71">
        <w:rPr>
          <w:b/>
          <w:bCs/>
          <w:sz w:val="24"/>
        </w:rPr>
        <w:lastRenderedPageBreak/>
        <w:t>Table S</w:t>
      </w:r>
      <w:r>
        <w:rPr>
          <w:b/>
          <w:bCs/>
          <w:sz w:val="24"/>
        </w:rPr>
        <w:t>2</w:t>
      </w:r>
      <w:r w:rsidRPr="008C5B71">
        <w:rPr>
          <w:sz w:val="24"/>
        </w:rPr>
        <w:t>: Dissimilarity test of community structures among soi</w:t>
      </w:r>
      <w:r>
        <w:rPr>
          <w:sz w:val="24"/>
        </w:rPr>
        <w:t>l</w:t>
      </w:r>
      <w:r w:rsidRPr="008C5B71">
        <w:rPr>
          <w:sz w:val="24"/>
        </w:rPr>
        <w:t xml:space="preserve"> layers by ADONIS</w:t>
      </w:r>
    </w:p>
    <w:tbl>
      <w:tblPr>
        <w:tblW w:w="2945" w:type="dxa"/>
        <w:jc w:val="center"/>
        <w:tblCellMar>
          <w:left w:w="0" w:type="dxa"/>
          <w:right w:w="0" w:type="dxa"/>
        </w:tblCellMar>
        <w:tblLook w:val="0600" w:firstRow="0" w:lastRow="0" w:firstColumn="0" w:lastColumn="0" w:noHBand="1" w:noVBand="1"/>
      </w:tblPr>
      <w:tblGrid>
        <w:gridCol w:w="1473"/>
        <w:gridCol w:w="1472"/>
      </w:tblGrid>
      <w:tr w:rsidR="00D85CAD" w:rsidRPr="008C5B71" w:rsidTr="003235D6">
        <w:trPr>
          <w:trHeight w:val="19"/>
          <w:jc w:val="center"/>
        </w:trPr>
        <w:tc>
          <w:tcPr>
            <w:tcW w:w="147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D85CAD" w:rsidRPr="008C5B71" w:rsidRDefault="00D85CAD" w:rsidP="003235D6">
            <w:pPr>
              <w:spacing w:after="0" w:line="240" w:lineRule="auto"/>
              <w:jc w:val="center"/>
              <w:rPr>
                <w:sz w:val="24"/>
              </w:rPr>
            </w:pPr>
          </w:p>
        </w:tc>
        <w:tc>
          <w:tcPr>
            <w:tcW w:w="1472"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D85CAD" w:rsidRPr="008C5B71" w:rsidRDefault="00D85CAD" w:rsidP="003235D6">
            <w:pPr>
              <w:spacing w:after="0" w:line="240" w:lineRule="auto"/>
              <w:jc w:val="center"/>
              <w:rPr>
                <w:sz w:val="24"/>
              </w:rPr>
            </w:pPr>
            <w:r w:rsidRPr="008C5B71">
              <w:rPr>
                <w:sz w:val="24"/>
              </w:rPr>
              <w:t xml:space="preserve">ADONIS </w:t>
            </w:r>
            <w:proofErr w:type="spellStart"/>
            <w:r w:rsidRPr="008C5B71">
              <w:rPr>
                <w:i/>
                <w:iCs/>
                <w:sz w:val="24"/>
              </w:rPr>
              <w:t>Pr</w:t>
            </w:r>
            <w:proofErr w:type="spellEnd"/>
          </w:p>
        </w:tc>
      </w:tr>
      <w:tr w:rsidR="00D85CAD" w:rsidRPr="008C5B71" w:rsidTr="003235D6">
        <w:trPr>
          <w:trHeight w:val="19"/>
          <w:jc w:val="center"/>
        </w:trPr>
        <w:tc>
          <w:tcPr>
            <w:tcW w:w="1473"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rsidR="00D85CAD" w:rsidRPr="008C5B71" w:rsidRDefault="00D85CAD" w:rsidP="003235D6">
            <w:pPr>
              <w:spacing w:after="0" w:line="240" w:lineRule="auto"/>
              <w:jc w:val="center"/>
              <w:rPr>
                <w:sz w:val="24"/>
              </w:rPr>
            </w:pPr>
            <w:r w:rsidRPr="008C5B71">
              <w:rPr>
                <w:sz w:val="24"/>
              </w:rPr>
              <w:t>L1 vs L2</w:t>
            </w:r>
          </w:p>
        </w:tc>
        <w:tc>
          <w:tcPr>
            <w:tcW w:w="1472"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rsidR="00D85CAD" w:rsidRPr="008C5B71" w:rsidRDefault="00D85CAD" w:rsidP="003235D6">
            <w:pPr>
              <w:spacing w:after="0" w:line="240" w:lineRule="auto"/>
              <w:jc w:val="center"/>
              <w:rPr>
                <w:sz w:val="24"/>
              </w:rPr>
            </w:pPr>
            <w:r w:rsidRPr="008C5B71">
              <w:rPr>
                <w:b/>
                <w:bCs/>
                <w:i/>
                <w:iCs/>
                <w:sz w:val="24"/>
              </w:rPr>
              <w:t>0.001</w:t>
            </w:r>
          </w:p>
        </w:tc>
      </w:tr>
      <w:tr w:rsidR="00D85CAD" w:rsidRPr="008C5B71" w:rsidTr="003235D6">
        <w:trPr>
          <w:trHeight w:val="19"/>
          <w:jc w:val="center"/>
        </w:trPr>
        <w:tc>
          <w:tcPr>
            <w:tcW w:w="1473" w:type="dxa"/>
            <w:tcBorders>
              <w:top w:val="nil"/>
              <w:left w:val="nil"/>
              <w:bottom w:val="nil"/>
              <w:right w:val="nil"/>
            </w:tcBorders>
            <w:shd w:val="clear" w:color="auto" w:fill="auto"/>
            <w:tcMar>
              <w:top w:w="15" w:type="dxa"/>
              <w:left w:w="15" w:type="dxa"/>
              <w:bottom w:w="0" w:type="dxa"/>
              <w:right w:w="15" w:type="dxa"/>
            </w:tcMar>
            <w:vAlign w:val="center"/>
            <w:hideMark/>
          </w:tcPr>
          <w:p w:rsidR="00D85CAD" w:rsidRPr="008C5B71" w:rsidRDefault="00D85CAD" w:rsidP="003235D6">
            <w:pPr>
              <w:spacing w:after="0" w:line="240" w:lineRule="auto"/>
              <w:jc w:val="center"/>
              <w:rPr>
                <w:sz w:val="24"/>
              </w:rPr>
            </w:pPr>
            <w:r w:rsidRPr="008C5B71">
              <w:rPr>
                <w:sz w:val="24"/>
              </w:rPr>
              <w:t>L1 vs L3</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rsidR="00D85CAD" w:rsidRPr="008C5B71" w:rsidRDefault="00D85CAD" w:rsidP="003235D6">
            <w:pPr>
              <w:spacing w:after="0" w:line="240" w:lineRule="auto"/>
              <w:jc w:val="center"/>
              <w:rPr>
                <w:sz w:val="24"/>
              </w:rPr>
            </w:pPr>
            <w:r w:rsidRPr="008C5B71">
              <w:rPr>
                <w:b/>
                <w:bCs/>
                <w:i/>
                <w:iCs/>
                <w:sz w:val="24"/>
              </w:rPr>
              <w:t>0.001</w:t>
            </w:r>
          </w:p>
        </w:tc>
      </w:tr>
      <w:tr w:rsidR="00D85CAD" w:rsidRPr="008C5B71" w:rsidTr="003235D6">
        <w:trPr>
          <w:trHeight w:val="19"/>
          <w:jc w:val="center"/>
        </w:trPr>
        <w:tc>
          <w:tcPr>
            <w:tcW w:w="1473" w:type="dxa"/>
            <w:tcBorders>
              <w:top w:val="nil"/>
              <w:left w:val="nil"/>
              <w:bottom w:val="nil"/>
              <w:right w:val="nil"/>
            </w:tcBorders>
            <w:shd w:val="clear" w:color="auto" w:fill="auto"/>
            <w:tcMar>
              <w:top w:w="15" w:type="dxa"/>
              <w:left w:w="15" w:type="dxa"/>
              <w:bottom w:w="0" w:type="dxa"/>
              <w:right w:w="15" w:type="dxa"/>
            </w:tcMar>
            <w:vAlign w:val="center"/>
            <w:hideMark/>
          </w:tcPr>
          <w:p w:rsidR="00D85CAD" w:rsidRPr="008C5B71" w:rsidRDefault="00D85CAD" w:rsidP="003235D6">
            <w:pPr>
              <w:spacing w:after="0" w:line="240" w:lineRule="auto"/>
              <w:jc w:val="center"/>
              <w:rPr>
                <w:sz w:val="24"/>
              </w:rPr>
            </w:pPr>
            <w:r w:rsidRPr="008C5B71">
              <w:rPr>
                <w:sz w:val="24"/>
              </w:rPr>
              <w:t>L1 vs L4</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rsidR="00D85CAD" w:rsidRPr="008C5B71" w:rsidRDefault="00D85CAD" w:rsidP="003235D6">
            <w:pPr>
              <w:spacing w:after="0" w:line="240" w:lineRule="auto"/>
              <w:jc w:val="center"/>
              <w:rPr>
                <w:sz w:val="24"/>
              </w:rPr>
            </w:pPr>
            <w:r w:rsidRPr="008C5B71">
              <w:rPr>
                <w:b/>
                <w:bCs/>
                <w:i/>
                <w:iCs/>
                <w:sz w:val="24"/>
              </w:rPr>
              <w:t>0.001</w:t>
            </w:r>
          </w:p>
        </w:tc>
      </w:tr>
      <w:tr w:rsidR="00D85CAD" w:rsidRPr="008C5B71" w:rsidTr="003235D6">
        <w:trPr>
          <w:trHeight w:val="19"/>
          <w:jc w:val="center"/>
        </w:trPr>
        <w:tc>
          <w:tcPr>
            <w:tcW w:w="1473" w:type="dxa"/>
            <w:tcBorders>
              <w:top w:val="nil"/>
              <w:left w:val="nil"/>
              <w:bottom w:val="nil"/>
              <w:right w:val="nil"/>
            </w:tcBorders>
            <w:shd w:val="clear" w:color="auto" w:fill="auto"/>
            <w:tcMar>
              <w:top w:w="15" w:type="dxa"/>
              <w:left w:w="15" w:type="dxa"/>
              <w:bottom w:w="0" w:type="dxa"/>
              <w:right w:w="15" w:type="dxa"/>
            </w:tcMar>
            <w:vAlign w:val="center"/>
            <w:hideMark/>
          </w:tcPr>
          <w:p w:rsidR="00D85CAD" w:rsidRPr="008C5B71" w:rsidRDefault="00D85CAD" w:rsidP="003235D6">
            <w:pPr>
              <w:spacing w:after="0" w:line="240" w:lineRule="auto"/>
              <w:jc w:val="center"/>
              <w:rPr>
                <w:sz w:val="24"/>
              </w:rPr>
            </w:pPr>
            <w:r w:rsidRPr="008C5B71">
              <w:rPr>
                <w:sz w:val="24"/>
              </w:rPr>
              <w:t>L2 vs L3</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rsidR="00D85CAD" w:rsidRPr="008C5B71" w:rsidRDefault="00D85CAD" w:rsidP="003235D6">
            <w:pPr>
              <w:spacing w:after="0" w:line="240" w:lineRule="auto"/>
              <w:jc w:val="center"/>
              <w:rPr>
                <w:sz w:val="24"/>
              </w:rPr>
            </w:pPr>
            <w:r w:rsidRPr="008C5B71">
              <w:rPr>
                <w:b/>
                <w:bCs/>
                <w:i/>
                <w:iCs/>
                <w:sz w:val="24"/>
              </w:rPr>
              <w:t>0.001</w:t>
            </w:r>
          </w:p>
        </w:tc>
      </w:tr>
      <w:tr w:rsidR="00D85CAD" w:rsidRPr="008C5B71" w:rsidTr="003235D6">
        <w:trPr>
          <w:trHeight w:val="19"/>
          <w:jc w:val="center"/>
        </w:trPr>
        <w:tc>
          <w:tcPr>
            <w:tcW w:w="1473" w:type="dxa"/>
            <w:tcBorders>
              <w:top w:val="nil"/>
              <w:left w:val="nil"/>
              <w:bottom w:val="nil"/>
              <w:right w:val="nil"/>
            </w:tcBorders>
            <w:shd w:val="clear" w:color="auto" w:fill="auto"/>
            <w:tcMar>
              <w:top w:w="15" w:type="dxa"/>
              <w:left w:w="15" w:type="dxa"/>
              <w:bottom w:w="0" w:type="dxa"/>
              <w:right w:w="15" w:type="dxa"/>
            </w:tcMar>
            <w:vAlign w:val="center"/>
            <w:hideMark/>
          </w:tcPr>
          <w:p w:rsidR="00D85CAD" w:rsidRPr="008C5B71" w:rsidRDefault="00D85CAD" w:rsidP="003235D6">
            <w:pPr>
              <w:spacing w:after="0" w:line="240" w:lineRule="auto"/>
              <w:jc w:val="center"/>
              <w:rPr>
                <w:sz w:val="24"/>
              </w:rPr>
            </w:pPr>
            <w:r w:rsidRPr="008C5B71">
              <w:rPr>
                <w:sz w:val="24"/>
              </w:rPr>
              <w:t>L2 vs L4</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rsidR="00D85CAD" w:rsidRPr="008C5B71" w:rsidRDefault="00D85CAD" w:rsidP="003235D6">
            <w:pPr>
              <w:spacing w:after="0" w:line="240" w:lineRule="auto"/>
              <w:jc w:val="center"/>
              <w:rPr>
                <w:sz w:val="24"/>
              </w:rPr>
            </w:pPr>
            <w:r w:rsidRPr="008C5B71">
              <w:rPr>
                <w:b/>
                <w:bCs/>
                <w:i/>
                <w:iCs/>
                <w:sz w:val="24"/>
              </w:rPr>
              <w:t>0.001</w:t>
            </w:r>
          </w:p>
        </w:tc>
      </w:tr>
      <w:tr w:rsidR="00D85CAD" w:rsidRPr="008C5B71" w:rsidTr="003235D6">
        <w:trPr>
          <w:trHeight w:val="19"/>
          <w:jc w:val="center"/>
        </w:trPr>
        <w:tc>
          <w:tcPr>
            <w:tcW w:w="1473"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D85CAD" w:rsidRPr="008C5B71" w:rsidRDefault="00D85CAD" w:rsidP="003235D6">
            <w:pPr>
              <w:spacing w:after="0" w:line="240" w:lineRule="auto"/>
              <w:jc w:val="center"/>
              <w:rPr>
                <w:sz w:val="24"/>
              </w:rPr>
            </w:pPr>
            <w:r w:rsidRPr="008C5B71">
              <w:rPr>
                <w:sz w:val="24"/>
              </w:rPr>
              <w:t>L3 vs L4</w:t>
            </w:r>
          </w:p>
        </w:tc>
        <w:tc>
          <w:tcPr>
            <w:tcW w:w="1472"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D85CAD" w:rsidRPr="008C5B71" w:rsidRDefault="00D85CAD" w:rsidP="003235D6">
            <w:pPr>
              <w:spacing w:after="0" w:line="240" w:lineRule="auto"/>
              <w:jc w:val="center"/>
              <w:rPr>
                <w:sz w:val="24"/>
              </w:rPr>
            </w:pPr>
            <w:r w:rsidRPr="008C5B71">
              <w:rPr>
                <w:b/>
                <w:bCs/>
                <w:i/>
                <w:iCs/>
                <w:sz w:val="24"/>
              </w:rPr>
              <w:t>0.001</w:t>
            </w:r>
          </w:p>
        </w:tc>
      </w:tr>
    </w:tbl>
    <w:p w:rsidR="00D85CAD" w:rsidRDefault="00D85CAD" w:rsidP="00482520">
      <w:pPr>
        <w:rPr>
          <w:sz w:val="24"/>
        </w:rPr>
      </w:pPr>
    </w:p>
    <w:p w:rsidR="00D85CAD" w:rsidRDefault="00D85CAD" w:rsidP="00482520">
      <w:pPr>
        <w:rPr>
          <w:sz w:val="24"/>
        </w:rPr>
      </w:pPr>
    </w:p>
    <w:p w:rsidR="00D85CAD" w:rsidRDefault="00D85CAD" w:rsidP="00482520">
      <w:pPr>
        <w:rPr>
          <w:sz w:val="24"/>
        </w:rPr>
      </w:pPr>
      <w:r w:rsidRPr="00662BFE">
        <w:rPr>
          <w:noProof/>
        </w:rPr>
        <w:drawing>
          <wp:inline distT="0" distB="0" distL="0" distR="0" wp14:anchorId="30087B84" wp14:editId="00247144">
            <wp:extent cx="5943600" cy="4625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625175"/>
                    </a:xfrm>
                    <a:prstGeom prst="rect">
                      <a:avLst/>
                    </a:prstGeom>
                    <a:noFill/>
                    <a:ln>
                      <a:noFill/>
                    </a:ln>
                  </pic:spPr>
                </pic:pic>
              </a:graphicData>
            </a:graphic>
          </wp:inline>
        </w:drawing>
      </w:r>
    </w:p>
    <w:p w:rsidR="00D85CAD" w:rsidRPr="004E7F13" w:rsidRDefault="00D85CAD" w:rsidP="004E7F13">
      <w:pPr>
        <w:rPr>
          <w:sz w:val="24"/>
        </w:rPr>
      </w:pPr>
      <w:r w:rsidRPr="004E7F13">
        <w:rPr>
          <w:b/>
          <w:bCs/>
          <w:sz w:val="24"/>
        </w:rPr>
        <w:t>Figure S2</w:t>
      </w:r>
      <w:r w:rsidRPr="004E7F13">
        <w:rPr>
          <w:sz w:val="24"/>
        </w:rPr>
        <w:t xml:space="preserve">. The maximum (a), minimum (b) daily temperature, and the daily temperature variation (c) of Ex, Mo and </w:t>
      </w:r>
      <w:proofErr w:type="spellStart"/>
      <w:r w:rsidRPr="004E7F13">
        <w:rPr>
          <w:sz w:val="24"/>
        </w:rPr>
        <w:t>Mi</w:t>
      </w:r>
      <w:proofErr w:type="spellEnd"/>
      <w:r w:rsidRPr="004E7F13">
        <w:rPr>
          <w:sz w:val="24"/>
        </w:rPr>
        <w:t xml:space="preserve"> sites in May, 2004. </w:t>
      </w:r>
    </w:p>
    <w:p w:rsidR="00D85CAD" w:rsidRDefault="00D85CAD">
      <w:pPr>
        <w:rPr>
          <w:sz w:val="24"/>
        </w:rPr>
      </w:pPr>
      <w:r>
        <w:rPr>
          <w:sz w:val="24"/>
        </w:rPr>
        <w:br w:type="page"/>
      </w:r>
    </w:p>
    <w:p w:rsidR="00D85CAD" w:rsidRDefault="00D85CAD" w:rsidP="008B6FBA">
      <w:pPr>
        <w:jc w:val="center"/>
        <w:rPr>
          <w:sz w:val="24"/>
        </w:rPr>
      </w:pPr>
      <w:r>
        <w:rPr>
          <w:noProof/>
          <w:sz w:val="24"/>
        </w:rPr>
        <w:lastRenderedPageBreak/>
        <w:drawing>
          <wp:inline distT="0" distB="0" distL="0" distR="0" wp14:anchorId="166B5933" wp14:editId="2F49B3AC">
            <wp:extent cx="5287617" cy="4508550"/>
            <wp:effectExtent l="0" t="0" r="8890" b="0"/>
            <wp:docPr id="30" name="Picture 30" descr="C:\Users\jason\Pictures\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son\Pictures\S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0646" cy="4511132"/>
                    </a:xfrm>
                    <a:prstGeom prst="rect">
                      <a:avLst/>
                    </a:prstGeom>
                    <a:noFill/>
                    <a:ln>
                      <a:noFill/>
                    </a:ln>
                  </pic:spPr>
                </pic:pic>
              </a:graphicData>
            </a:graphic>
          </wp:inline>
        </w:drawing>
      </w:r>
    </w:p>
    <w:p w:rsidR="00D85CAD" w:rsidRDefault="00D85CAD" w:rsidP="00E4284D">
      <w:pPr>
        <w:rPr>
          <w:sz w:val="24"/>
        </w:rPr>
      </w:pPr>
      <w:r w:rsidRPr="00E4284D">
        <w:rPr>
          <w:b/>
          <w:bCs/>
          <w:sz w:val="24"/>
        </w:rPr>
        <w:t>Figure S3.</w:t>
      </w:r>
      <w:r w:rsidRPr="00E4284D">
        <w:rPr>
          <w:sz w:val="24"/>
        </w:rPr>
        <w:t xml:space="preserve"> Association of major classes (&gt;1000 in normalized sequence number) with soil physical-chemical attributes. The first six columns correspond to correlations of the abundance of each class with soil depth and soil chemical properties including C and N content, soil bulk density, pH and moisture (</w:t>
      </w:r>
      <w:r w:rsidRPr="00E4284D">
        <w:rPr>
          <w:i/>
          <w:iCs/>
          <w:sz w:val="24"/>
        </w:rPr>
        <w:t xml:space="preserve">P </w:t>
      </w:r>
      <w:r w:rsidRPr="00E4284D">
        <w:rPr>
          <w:sz w:val="24"/>
        </w:rPr>
        <w:t xml:space="preserve">&lt;0.05). The next three columns correspond to </w:t>
      </w:r>
      <w:proofErr w:type="spellStart"/>
      <w:r w:rsidRPr="00E4284D">
        <w:rPr>
          <w:sz w:val="24"/>
        </w:rPr>
        <w:t>logarithmized</w:t>
      </w:r>
      <w:proofErr w:type="spellEnd"/>
      <w:r w:rsidRPr="00E4284D">
        <w:rPr>
          <w:sz w:val="24"/>
        </w:rPr>
        <w:t xml:space="preserve"> fold changes (</w:t>
      </w:r>
      <w:r w:rsidRPr="00E4284D">
        <w:rPr>
          <w:i/>
          <w:iCs/>
          <w:sz w:val="24"/>
        </w:rPr>
        <w:t xml:space="preserve">P </w:t>
      </w:r>
      <w:r w:rsidRPr="00E4284D">
        <w:rPr>
          <w:sz w:val="24"/>
        </w:rPr>
        <w:t>&lt; 0.05 by T test) of Organic vs. Mineral layers (O/M), Above Thaw Depth vs. Below Thaw Depth layers (ATD/BTD), and Active vs. Inactive (Ac/</w:t>
      </w:r>
      <w:proofErr w:type="spellStart"/>
      <w:r w:rsidRPr="00E4284D">
        <w:rPr>
          <w:sz w:val="24"/>
        </w:rPr>
        <w:t>InAc</w:t>
      </w:r>
      <w:proofErr w:type="spellEnd"/>
      <w:r w:rsidRPr="00E4284D">
        <w:rPr>
          <w:sz w:val="24"/>
        </w:rPr>
        <w:t xml:space="preserve">) layers. The last column shows the relative abundance of the corresponding class. The </w:t>
      </w:r>
      <w:r w:rsidRPr="00E4284D">
        <w:rPr>
          <w:i/>
          <w:iCs/>
          <w:sz w:val="24"/>
        </w:rPr>
        <w:t xml:space="preserve">P </w:t>
      </w:r>
      <w:r w:rsidRPr="00E4284D">
        <w:rPr>
          <w:sz w:val="24"/>
        </w:rPr>
        <w:t>values have been corrected for multiple tests using the method by Holm</w:t>
      </w:r>
      <w:r w:rsidRPr="00E4284D">
        <w:t xml:space="preserve"> </w:t>
      </w:r>
      <w:r>
        <w:rPr>
          <w:noProof/>
          <w:sz w:val="24"/>
        </w:rPr>
        <w:t>(Holm 1979)</w:t>
      </w:r>
      <w:r w:rsidRPr="00E4284D">
        <w:rPr>
          <w:sz w:val="24"/>
        </w:rPr>
        <w:t xml:space="preserve">. </w:t>
      </w:r>
    </w:p>
    <w:p w:rsidR="00D85CAD" w:rsidRDefault="00D85CAD">
      <w:pPr>
        <w:rPr>
          <w:sz w:val="24"/>
        </w:rPr>
      </w:pPr>
      <w:r>
        <w:rPr>
          <w:sz w:val="24"/>
        </w:rPr>
        <w:br w:type="page"/>
      </w:r>
    </w:p>
    <w:p w:rsidR="00D85CAD" w:rsidRDefault="00D85CAD" w:rsidP="009A2C64">
      <w:pPr>
        <w:jc w:val="center"/>
        <w:rPr>
          <w:sz w:val="24"/>
        </w:rPr>
      </w:pPr>
      <w:r>
        <w:rPr>
          <w:noProof/>
          <w:sz w:val="24"/>
        </w:rPr>
        <w:lastRenderedPageBreak/>
        <w:drawing>
          <wp:inline distT="0" distB="0" distL="0" distR="0" wp14:anchorId="03329CB1" wp14:editId="6BB8BE69">
            <wp:extent cx="3164619" cy="5371538"/>
            <wp:effectExtent l="0" t="0" r="0" b="635"/>
            <wp:docPr id="31" name="Picture 31" descr="C:\Users\jason\Pictures\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son\Pictures\S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6371" cy="5374511"/>
                    </a:xfrm>
                    <a:prstGeom prst="rect">
                      <a:avLst/>
                    </a:prstGeom>
                    <a:noFill/>
                    <a:ln>
                      <a:noFill/>
                    </a:ln>
                  </pic:spPr>
                </pic:pic>
              </a:graphicData>
            </a:graphic>
          </wp:inline>
        </w:drawing>
      </w:r>
    </w:p>
    <w:p w:rsidR="00D85CAD" w:rsidRPr="009A2C64" w:rsidRDefault="00D85CAD" w:rsidP="009A2C64">
      <w:pPr>
        <w:rPr>
          <w:sz w:val="24"/>
        </w:rPr>
      </w:pPr>
      <w:r w:rsidRPr="009A2C64">
        <w:rPr>
          <w:b/>
          <w:bCs/>
          <w:sz w:val="24"/>
        </w:rPr>
        <w:t>Figure S4.</w:t>
      </w:r>
      <w:r w:rsidRPr="009A2C64">
        <w:rPr>
          <w:sz w:val="24"/>
        </w:rPr>
        <w:t xml:space="preserve"> Association of major genera </w:t>
      </w:r>
      <w:proofErr w:type="gramStart"/>
      <w:r w:rsidRPr="009A2C64">
        <w:rPr>
          <w:sz w:val="24"/>
        </w:rPr>
        <w:t>( &gt;</w:t>
      </w:r>
      <w:proofErr w:type="gramEnd"/>
      <w:r w:rsidRPr="009A2C64">
        <w:rPr>
          <w:sz w:val="24"/>
        </w:rPr>
        <w:t>500 in normalized sequence number) with soil physical-chemical attributes. The first six columns correspond to correlations of the abundance of each class with soil depth and soil chemical properties including C and N content, soil bulk density, pH and moisture (</w:t>
      </w:r>
      <w:r w:rsidRPr="009A2C64">
        <w:rPr>
          <w:i/>
          <w:iCs/>
          <w:sz w:val="24"/>
        </w:rPr>
        <w:t xml:space="preserve">P </w:t>
      </w:r>
      <w:r w:rsidRPr="009A2C64">
        <w:rPr>
          <w:sz w:val="24"/>
        </w:rPr>
        <w:t xml:space="preserve">&lt;0.05). The next three columns correspond to </w:t>
      </w:r>
      <w:proofErr w:type="spellStart"/>
      <w:r w:rsidRPr="009A2C64">
        <w:rPr>
          <w:sz w:val="24"/>
        </w:rPr>
        <w:t>logarithmized</w:t>
      </w:r>
      <w:proofErr w:type="spellEnd"/>
      <w:r w:rsidRPr="009A2C64">
        <w:rPr>
          <w:sz w:val="24"/>
        </w:rPr>
        <w:t xml:space="preserve"> fold changes (</w:t>
      </w:r>
      <w:r w:rsidRPr="009A2C64">
        <w:rPr>
          <w:i/>
          <w:iCs/>
          <w:sz w:val="24"/>
        </w:rPr>
        <w:t xml:space="preserve">P </w:t>
      </w:r>
      <w:r w:rsidRPr="009A2C64">
        <w:rPr>
          <w:sz w:val="24"/>
        </w:rPr>
        <w:t>&lt; 0.05 by T test) of Organic vs. Mineral layers (O/M), Above Thaw Depth vs. Below Thaw Depth layers (ATD/BTD), and Active vs. Inactive (Ac/</w:t>
      </w:r>
      <w:proofErr w:type="spellStart"/>
      <w:r w:rsidRPr="009A2C64">
        <w:rPr>
          <w:sz w:val="24"/>
        </w:rPr>
        <w:t>InAc</w:t>
      </w:r>
      <w:proofErr w:type="spellEnd"/>
      <w:r w:rsidRPr="009A2C64">
        <w:rPr>
          <w:sz w:val="24"/>
        </w:rPr>
        <w:t xml:space="preserve">) layers. The last column shows the relative abundance of the corresponding genus. The </w:t>
      </w:r>
      <w:r w:rsidRPr="009A2C64">
        <w:rPr>
          <w:i/>
          <w:iCs/>
          <w:sz w:val="24"/>
        </w:rPr>
        <w:t xml:space="preserve">P </w:t>
      </w:r>
      <w:r w:rsidRPr="009A2C64">
        <w:rPr>
          <w:sz w:val="24"/>
        </w:rPr>
        <w:t>values have been corrected for multiple tests using the method by Holm.</w:t>
      </w:r>
    </w:p>
    <w:p w:rsidR="00D85CAD" w:rsidRDefault="00D85CAD">
      <w:pPr>
        <w:rPr>
          <w:sz w:val="24"/>
        </w:rPr>
      </w:pPr>
      <w:r>
        <w:rPr>
          <w:sz w:val="24"/>
        </w:rPr>
        <w:br w:type="page"/>
      </w:r>
    </w:p>
    <w:p w:rsidR="00D85CAD" w:rsidRPr="00E4284D" w:rsidRDefault="00D85CAD" w:rsidP="005F617D">
      <w:pPr>
        <w:jc w:val="center"/>
        <w:rPr>
          <w:sz w:val="24"/>
        </w:rPr>
      </w:pPr>
      <w:r>
        <w:rPr>
          <w:noProof/>
          <w:sz w:val="24"/>
        </w:rPr>
        <w:lastRenderedPageBreak/>
        <w:drawing>
          <wp:inline distT="0" distB="0" distL="0" distR="0" wp14:anchorId="2B34C01E" wp14:editId="410D18B8">
            <wp:extent cx="4079019" cy="2572568"/>
            <wp:effectExtent l="0" t="0" r="0" b="0"/>
            <wp:docPr id="27" name="Picture 27" descr="C:\Users\jason\Pictures\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son\Pictures\S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2792" cy="2574947"/>
                    </a:xfrm>
                    <a:prstGeom prst="rect">
                      <a:avLst/>
                    </a:prstGeom>
                    <a:noFill/>
                    <a:ln>
                      <a:noFill/>
                    </a:ln>
                  </pic:spPr>
                </pic:pic>
              </a:graphicData>
            </a:graphic>
          </wp:inline>
        </w:drawing>
      </w:r>
    </w:p>
    <w:p w:rsidR="00D85CAD" w:rsidRPr="000C64F1" w:rsidRDefault="00D85CAD" w:rsidP="000C64F1">
      <w:pPr>
        <w:rPr>
          <w:sz w:val="24"/>
        </w:rPr>
      </w:pPr>
      <w:r w:rsidRPr="000C64F1">
        <w:rPr>
          <w:b/>
          <w:bCs/>
          <w:sz w:val="24"/>
        </w:rPr>
        <w:t>Figure S5.</w:t>
      </w:r>
      <w:r w:rsidRPr="000C64F1">
        <w:rPr>
          <w:sz w:val="24"/>
        </w:rPr>
        <w:t xml:space="preserve"> Proportions of unclassified population at three taxonomic levels (phylum, class and genus) in the four soil layers.</w:t>
      </w:r>
    </w:p>
    <w:p w:rsidR="00D85CAD" w:rsidRDefault="00D85CAD">
      <w:pPr>
        <w:rPr>
          <w:sz w:val="24"/>
        </w:rPr>
      </w:pPr>
      <w:r>
        <w:rPr>
          <w:sz w:val="24"/>
        </w:rPr>
        <w:br w:type="page"/>
      </w:r>
    </w:p>
    <w:p w:rsidR="00D85CAD" w:rsidRDefault="00D85CAD" w:rsidP="000C64F1">
      <w:pPr>
        <w:jc w:val="center"/>
        <w:rPr>
          <w:sz w:val="24"/>
        </w:rPr>
      </w:pPr>
      <w:r>
        <w:rPr>
          <w:noProof/>
          <w:sz w:val="24"/>
        </w:rPr>
        <w:lastRenderedPageBreak/>
        <w:drawing>
          <wp:inline distT="0" distB="0" distL="0" distR="0" wp14:anchorId="4A67E912" wp14:editId="07921457">
            <wp:extent cx="3943847" cy="2661822"/>
            <wp:effectExtent l="0" t="0" r="0" b="0"/>
            <wp:docPr id="29" name="Picture 29" descr="C:\Users\jason\Pictures\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son\Pictures\S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7843" cy="2664519"/>
                    </a:xfrm>
                    <a:prstGeom prst="rect">
                      <a:avLst/>
                    </a:prstGeom>
                    <a:noFill/>
                    <a:ln>
                      <a:noFill/>
                    </a:ln>
                  </pic:spPr>
                </pic:pic>
              </a:graphicData>
            </a:graphic>
          </wp:inline>
        </w:drawing>
      </w:r>
    </w:p>
    <w:p w:rsidR="00D85CAD" w:rsidRPr="000C64F1" w:rsidRDefault="00D85CAD" w:rsidP="000C64F1">
      <w:pPr>
        <w:rPr>
          <w:sz w:val="24"/>
        </w:rPr>
      </w:pPr>
      <w:r w:rsidRPr="000C64F1">
        <w:rPr>
          <w:b/>
          <w:bCs/>
          <w:sz w:val="24"/>
        </w:rPr>
        <w:t>Figure S6.</w:t>
      </w:r>
      <w:r w:rsidRPr="000C64F1">
        <w:rPr>
          <w:sz w:val="24"/>
        </w:rPr>
        <w:t xml:space="preserve"> Abundance of dominant groups involved in methane cycling in the four soil layers. </w:t>
      </w:r>
    </w:p>
    <w:p w:rsidR="00D85CAD" w:rsidRDefault="00D85CAD">
      <w:pPr>
        <w:rPr>
          <w:sz w:val="24"/>
        </w:rPr>
      </w:pPr>
      <w:r>
        <w:rPr>
          <w:sz w:val="24"/>
        </w:rPr>
        <w:br w:type="page"/>
      </w:r>
    </w:p>
    <w:p w:rsidR="00D85CAD" w:rsidRDefault="00A36E3C" w:rsidP="00071551">
      <w:pPr>
        <w:jc w:val="center"/>
        <w:rPr>
          <w:sz w:val="24"/>
        </w:rPr>
      </w:pPr>
      <w:r>
        <w:rPr>
          <w:noProof/>
          <w:sz w:val="24"/>
        </w:rPr>
        <w:lastRenderedPageBreak/>
        <w:drawing>
          <wp:inline distT="0" distB="0" distL="0" distR="0">
            <wp:extent cx="4754880" cy="3766334"/>
            <wp:effectExtent l="0" t="0" r="7620" b="0"/>
            <wp:docPr id="4" name="Picture 4" descr="C:\Users\jason\Pictures\S7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on\Pictures\S7a_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0" cy="3766334"/>
                    </a:xfrm>
                    <a:prstGeom prst="rect">
                      <a:avLst/>
                    </a:prstGeom>
                    <a:noFill/>
                    <a:ln>
                      <a:noFill/>
                    </a:ln>
                  </pic:spPr>
                </pic:pic>
              </a:graphicData>
            </a:graphic>
          </wp:inline>
        </w:drawing>
      </w:r>
      <w:bookmarkStart w:id="0" w:name="_GoBack"/>
      <w:bookmarkEnd w:id="0"/>
    </w:p>
    <w:p w:rsidR="00D85CAD" w:rsidRDefault="00A36E3C" w:rsidP="00071551">
      <w:pPr>
        <w:jc w:val="center"/>
        <w:rPr>
          <w:sz w:val="24"/>
        </w:rPr>
      </w:pPr>
      <w:r>
        <w:rPr>
          <w:noProof/>
          <w:sz w:val="24"/>
        </w:rPr>
        <w:lastRenderedPageBreak/>
        <w:drawing>
          <wp:inline distT="0" distB="0" distL="0" distR="0">
            <wp:extent cx="4754880" cy="6235466"/>
            <wp:effectExtent l="0" t="0" r="7620" b="0"/>
            <wp:docPr id="3" name="Picture 3" descr="C:\Users\jason\Pictures\S7b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on\Pictures\S7b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4880" cy="6235466"/>
                    </a:xfrm>
                    <a:prstGeom prst="rect">
                      <a:avLst/>
                    </a:prstGeom>
                    <a:noFill/>
                    <a:ln>
                      <a:noFill/>
                    </a:ln>
                  </pic:spPr>
                </pic:pic>
              </a:graphicData>
            </a:graphic>
          </wp:inline>
        </w:drawing>
      </w:r>
    </w:p>
    <w:p w:rsidR="00D85CAD" w:rsidRDefault="00D85CAD" w:rsidP="00071551">
      <w:pPr>
        <w:jc w:val="center"/>
        <w:rPr>
          <w:sz w:val="24"/>
        </w:rPr>
      </w:pPr>
      <w:r w:rsidRPr="00071551">
        <w:rPr>
          <w:b/>
          <w:bCs/>
          <w:sz w:val="24"/>
        </w:rPr>
        <w:t>Figure S7.</w:t>
      </w:r>
      <w:r w:rsidRPr="00071551">
        <w:rPr>
          <w:sz w:val="24"/>
        </w:rPr>
        <w:t xml:space="preserve"> Complete list of genera (with relative abundances &gt; 0.01%) with different abundance levels among sites within the L2 and L3-L4 soil layers. The color panel under “Ex”, “Mo” and “</w:t>
      </w:r>
      <w:proofErr w:type="spellStart"/>
      <w:r w:rsidRPr="00071551">
        <w:rPr>
          <w:sz w:val="24"/>
        </w:rPr>
        <w:t>Mi</w:t>
      </w:r>
      <w:proofErr w:type="spellEnd"/>
      <w:r w:rsidRPr="00071551">
        <w:rPr>
          <w:sz w:val="24"/>
        </w:rPr>
        <w:t xml:space="preserve">” reflects both the absolute abundance (sequence count) of the corresponding genus and the relative abundance level at each site by LSD test. Red toned cells (a) represent the highest abundance level; Blue toned cells (b) represent significant lower abundance levels compared to (a); Purple toned cells (ab) represent intermediate abundance levels between (a) and (b). The absolute abundances were reflected by the color gradient within the red, blue and purple tones. The color panel under “%” reflects the relative abundance of the corresponding genus. </w:t>
      </w:r>
    </w:p>
    <w:p w:rsidR="00D85CAD" w:rsidRDefault="00D85CAD" w:rsidP="00071551">
      <w:pPr>
        <w:jc w:val="center"/>
        <w:rPr>
          <w:sz w:val="24"/>
        </w:rPr>
      </w:pPr>
    </w:p>
    <w:p w:rsidR="008658C4" w:rsidRPr="008658C4" w:rsidRDefault="008658C4" w:rsidP="009760E7">
      <w:pPr>
        <w:spacing w:after="0" w:line="240" w:lineRule="auto"/>
        <w:ind w:left="720" w:hanging="720"/>
        <w:rPr>
          <w:rFonts w:ascii="Calibri" w:hAnsi="Calibri"/>
          <w:b/>
          <w:noProof/>
          <w:sz w:val="24"/>
        </w:rPr>
      </w:pPr>
      <w:bookmarkStart w:id="1" w:name="_ENREF_1"/>
      <w:r w:rsidRPr="008658C4">
        <w:rPr>
          <w:rFonts w:ascii="Calibri" w:hAnsi="Calibri"/>
          <w:b/>
          <w:noProof/>
          <w:sz w:val="24"/>
        </w:rPr>
        <w:t>References:</w:t>
      </w:r>
    </w:p>
    <w:p w:rsidR="008658C4" w:rsidRPr="00F014FA" w:rsidRDefault="008658C4" w:rsidP="009760E7">
      <w:pPr>
        <w:spacing w:after="0" w:line="240" w:lineRule="auto"/>
        <w:ind w:left="720" w:hanging="720"/>
        <w:rPr>
          <w:rFonts w:ascii="Calibri" w:hAnsi="Calibri"/>
          <w:b/>
          <w:noProof/>
          <w:sz w:val="24"/>
        </w:rPr>
      </w:pPr>
    </w:p>
    <w:p w:rsidR="00D85CAD" w:rsidRPr="00F014FA" w:rsidRDefault="00D85CAD" w:rsidP="009760E7">
      <w:pPr>
        <w:spacing w:after="0" w:line="240" w:lineRule="auto"/>
        <w:ind w:left="720" w:hanging="720"/>
        <w:rPr>
          <w:rFonts w:ascii="Calibri" w:hAnsi="Calibri"/>
          <w:noProof/>
          <w:sz w:val="24"/>
        </w:rPr>
      </w:pPr>
      <w:r w:rsidRPr="00F014FA">
        <w:rPr>
          <w:rFonts w:ascii="Calibri" w:hAnsi="Calibri"/>
          <w:noProof/>
          <w:sz w:val="24"/>
        </w:rPr>
        <w:t>Caporaso JG, Lauber CL, Walters WA</w:t>
      </w:r>
      <w:r w:rsidRPr="00F014FA">
        <w:rPr>
          <w:rFonts w:ascii="Calibri" w:hAnsi="Calibri"/>
          <w:i/>
          <w:noProof/>
          <w:sz w:val="24"/>
        </w:rPr>
        <w:t>, et al.</w:t>
      </w:r>
      <w:r w:rsidRPr="00F014FA">
        <w:rPr>
          <w:rFonts w:ascii="Calibri" w:hAnsi="Calibri"/>
          <w:noProof/>
          <w:sz w:val="24"/>
        </w:rPr>
        <w:t xml:space="preserve"> (2012) Ultra-high-throughput microbial community analysis on the Illumina HiSeq and MiSeq platforms. </w:t>
      </w:r>
      <w:r w:rsidRPr="00F014FA">
        <w:rPr>
          <w:rFonts w:ascii="Calibri" w:hAnsi="Calibri"/>
          <w:i/>
          <w:noProof/>
          <w:sz w:val="24"/>
        </w:rPr>
        <w:t>Isme Journal</w:t>
      </w:r>
      <w:r w:rsidRPr="00F014FA">
        <w:rPr>
          <w:rFonts w:ascii="Calibri" w:hAnsi="Calibri"/>
          <w:noProof/>
          <w:sz w:val="24"/>
        </w:rPr>
        <w:t xml:space="preserve"> </w:t>
      </w:r>
      <w:r w:rsidRPr="00F014FA">
        <w:rPr>
          <w:rFonts w:ascii="Calibri" w:hAnsi="Calibri"/>
          <w:b/>
          <w:noProof/>
          <w:sz w:val="24"/>
        </w:rPr>
        <w:t>6</w:t>
      </w:r>
      <w:r w:rsidRPr="00F014FA">
        <w:rPr>
          <w:rFonts w:ascii="Calibri" w:hAnsi="Calibri"/>
          <w:noProof/>
          <w:sz w:val="24"/>
        </w:rPr>
        <w:t>, 1621-1624.</w:t>
      </w:r>
      <w:bookmarkEnd w:id="1"/>
    </w:p>
    <w:p w:rsidR="00D85CAD" w:rsidRPr="00F014FA" w:rsidRDefault="00D85CAD" w:rsidP="009760E7">
      <w:pPr>
        <w:spacing w:after="0" w:line="240" w:lineRule="auto"/>
        <w:ind w:left="720" w:hanging="720"/>
        <w:rPr>
          <w:rFonts w:ascii="Calibri" w:hAnsi="Calibri"/>
          <w:noProof/>
          <w:sz w:val="24"/>
        </w:rPr>
      </w:pPr>
      <w:bookmarkStart w:id="2" w:name="_ENREF_2"/>
      <w:r w:rsidRPr="00F014FA">
        <w:rPr>
          <w:rFonts w:ascii="Calibri" w:hAnsi="Calibri"/>
          <w:noProof/>
          <w:sz w:val="24"/>
        </w:rPr>
        <w:t>Caporaso JG, Lauber CL, Walters WA</w:t>
      </w:r>
      <w:r w:rsidRPr="00F014FA">
        <w:rPr>
          <w:rFonts w:ascii="Calibri" w:hAnsi="Calibri"/>
          <w:i/>
          <w:noProof/>
          <w:sz w:val="24"/>
        </w:rPr>
        <w:t>, et al.</w:t>
      </w:r>
      <w:r w:rsidRPr="00F014FA">
        <w:rPr>
          <w:rFonts w:ascii="Calibri" w:hAnsi="Calibri"/>
          <w:noProof/>
          <w:sz w:val="24"/>
        </w:rPr>
        <w:t xml:space="preserve"> (2011) Global patterns of 16S rRNA diversity at a depth of millions of sequences per sample. </w:t>
      </w:r>
      <w:r w:rsidRPr="00F014FA">
        <w:rPr>
          <w:rFonts w:ascii="Calibri" w:hAnsi="Calibri"/>
          <w:i/>
          <w:noProof/>
          <w:sz w:val="24"/>
        </w:rPr>
        <w:t>Proceedings of the National Academy of Sciences of the United States of America</w:t>
      </w:r>
      <w:r w:rsidRPr="00F014FA">
        <w:rPr>
          <w:rFonts w:ascii="Calibri" w:hAnsi="Calibri"/>
          <w:noProof/>
          <w:sz w:val="24"/>
        </w:rPr>
        <w:t xml:space="preserve"> </w:t>
      </w:r>
      <w:r w:rsidRPr="00F014FA">
        <w:rPr>
          <w:rFonts w:ascii="Calibri" w:hAnsi="Calibri"/>
          <w:b/>
          <w:noProof/>
          <w:sz w:val="24"/>
        </w:rPr>
        <w:t>108</w:t>
      </w:r>
      <w:r w:rsidRPr="00F014FA">
        <w:rPr>
          <w:rFonts w:ascii="Calibri" w:hAnsi="Calibri"/>
          <w:noProof/>
          <w:sz w:val="24"/>
        </w:rPr>
        <w:t>, 4516-4522.</w:t>
      </w:r>
      <w:bookmarkEnd w:id="2"/>
    </w:p>
    <w:p w:rsidR="00D85CAD" w:rsidRPr="00F014FA" w:rsidRDefault="00D85CAD" w:rsidP="009760E7">
      <w:pPr>
        <w:spacing w:after="0" w:line="240" w:lineRule="auto"/>
        <w:ind w:left="720" w:hanging="720"/>
        <w:rPr>
          <w:rFonts w:ascii="Calibri" w:hAnsi="Calibri"/>
          <w:noProof/>
          <w:sz w:val="24"/>
        </w:rPr>
      </w:pPr>
      <w:bookmarkStart w:id="3" w:name="_ENREF_3"/>
      <w:r w:rsidRPr="00F014FA">
        <w:rPr>
          <w:rFonts w:ascii="Calibri" w:hAnsi="Calibri"/>
          <w:noProof/>
          <w:sz w:val="24"/>
        </w:rPr>
        <w:t xml:space="preserve">Holm S (1979) A simple sequentially rejective multiple test procedure. </w:t>
      </w:r>
      <w:r w:rsidRPr="00F014FA">
        <w:rPr>
          <w:rFonts w:ascii="Calibri" w:hAnsi="Calibri"/>
          <w:i/>
          <w:noProof/>
          <w:sz w:val="24"/>
        </w:rPr>
        <w:t>Scandinavian Journal of Statistics</w:t>
      </w:r>
      <w:r w:rsidRPr="00F014FA">
        <w:rPr>
          <w:rFonts w:ascii="Calibri" w:hAnsi="Calibri"/>
          <w:noProof/>
          <w:sz w:val="24"/>
        </w:rPr>
        <w:t xml:space="preserve"> </w:t>
      </w:r>
      <w:r w:rsidRPr="00F014FA">
        <w:rPr>
          <w:rFonts w:ascii="Calibri" w:hAnsi="Calibri"/>
          <w:b/>
          <w:noProof/>
          <w:sz w:val="24"/>
        </w:rPr>
        <w:t>6</w:t>
      </w:r>
      <w:r w:rsidRPr="00F014FA">
        <w:rPr>
          <w:rFonts w:ascii="Calibri" w:hAnsi="Calibri"/>
          <w:noProof/>
          <w:sz w:val="24"/>
        </w:rPr>
        <w:t>, 65-70.</w:t>
      </w:r>
      <w:bookmarkEnd w:id="3"/>
    </w:p>
    <w:p w:rsidR="00D85CAD" w:rsidRPr="00F014FA" w:rsidRDefault="00D85CAD" w:rsidP="009760E7">
      <w:pPr>
        <w:spacing w:after="0" w:line="240" w:lineRule="auto"/>
        <w:ind w:left="720" w:hanging="720"/>
        <w:rPr>
          <w:rFonts w:ascii="Calibri" w:hAnsi="Calibri"/>
          <w:noProof/>
          <w:sz w:val="24"/>
        </w:rPr>
      </w:pPr>
      <w:bookmarkStart w:id="4" w:name="_ENREF_4"/>
      <w:r w:rsidRPr="00F014FA">
        <w:rPr>
          <w:rFonts w:ascii="Calibri" w:hAnsi="Calibri"/>
          <w:noProof/>
          <w:sz w:val="24"/>
        </w:rPr>
        <w:t xml:space="preserve">Schuur EAG, Crummer KG, Vogel JG, Mack MC (2007) Plant species composition and productivity following permafrost thaw and thermokarst in alaskan tundra. </w:t>
      </w:r>
      <w:r w:rsidRPr="00F014FA">
        <w:rPr>
          <w:rFonts w:ascii="Calibri" w:hAnsi="Calibri"/>
          <w:i/>
          <w:noProof/>
          <w:sz w:val="24"/>
        </w:rPr>
        <w:t>Ecosystems</w:t>
      </w:r>
      <w:r w:rsidRPr="00F014FA">
        <w:rPr>
          <w:rFonts w:ascii="Calibri" w:hAnsi="Calibri"/>
          <w:noProof/>
          <w:sz w:val="24"/>
        </w:rPr>
        <w:t xml:space="preserve"> </w:t>
      </w:r>
      <w:r w:rsidRPr="00F014FA">
        <w:rPr>
          <w:rFonts w:ascii="Calibri" w:hAnsi="Calibri"/>
          <w:b/>
          <w:noProof/>
          <w:sz w:val="24"/>
        </w:rPr>
        <w:t>10</w:t>
      </w:r>
      <w:r w:rsidRPr="00F014FA">
        <w:rPr>
          <w:rFonts w:ascii="Calibri" w:hAnsi="Calibri"/>
          <w:noProof/>
          <w:sz w:val="24"/>
        </w:rPr>
        <w:t>, 280-292.</w:t>
      </w:r>
      <w:bookmarkEnd w:id="4"/>
    </w:p>
    <w:p w:rsidR="00D85CAD" w:rsidRPr="00F014FA" w:rsidRDefault="00D85CAD" w:rsidP="009760E7">
      <w:pPr>
        <w:spacing w:line="240" w:lineRule="auto"/>
        <w:ind w:left="720" w:hanging="720"/>
        <w:rPr>
          <w:rFonts w:ascii="Calibri" w:hAnsi="Calibri"/>
          <w:noProof/>
          <w:sz w:val="24"/>
        </w:rPr>
      </w:pPr>
      <w:bookmarkStart w:id="5" w:name="_ENREF_5"/>
      <w:r w:rsidRPr="00F014FA">
        <w:rPr>
          <w:rFonts w:ascii="Calibri" w:hAnsi="Calibri"/>
          <w:noProof/>
          <w:sz w:val="24"/>
        </w:rPr>
        <w:t>Zhou J, Wu L, Deng Y</w:t>
      </w:r>
      <w:r w:rsidRPr="00F014FA">
        <w:rPr>
          <w:rFonts w:ascii="Calibri" w:hAnsi="Calibri"/>
          <w:i/>
          <w:noProof/>
          <w:sz w:val="24"/>
        </w:rPr>
        <w:t>, et al.</w:t>
      </w:r>
      <w:r w:rsidRPr="00F014FA">
        <w:rPr>
          <w:rFonts w:ascii="Calibri" w:hAnsi="Calibri"/>
          <w:noProof/>
          <w:sz w:val="24"/>
        </w:rPr>
        <w:t xml:space="preserve"> (2011) Reproducibility and quantitation of amplicon sequencing-based detection. </w:t>
      </w:r>
      <w:r w:rsidRPr="00F014FA">
        <w:rPr>
          <w:rFonts w:ascii="Calibri" w:hAnsi="Calibri"/>
          <w:i/>
          <w:noProof/>
          <w:sz w:val="24"/>
        </w:rPr>
        <w:t>ISME J</w:t>
      </w:r>
      <w:r w:rsidRPr="00F014FA">
        <w:rPr>
          <w:rFonts w:ascii="Calibri" w:hAnsi="Calibri"/>
          <w:noProof/>
          <w:sz w:val="24"/>
        </w:rPr>
        <w:t xml:space="preserve"> </w:t>
      </w:r>
      <w:r w:rsidRPr="00F014FA">
        <w:rPr>
          <w:rFonts w:ascii="Calibri" w:hAnsi="Calibri"/>
          <w:b/>
          <w:noProof/>
          <w:sz w:val="24"/>
        </w:rPr>
        <w:t>5</w:t>
      </w:r>
      <w:r w:rsidRPr="00F014FA">
        <w:rPr>
          <w:rFonts w:ascii="Calibri" w:hAnsi="Calibri"/>
          <w:noProof/>
          <w:sz w:val="24"/>
        </w:rPr>
        <w:t>, 1303-1313.</w:t>
      </w:r>
      <w:bookmarkEnd w:id="5"/>
    </w:p>
    <w:p w:rsidR="00D85CAD" w:rsidRDefault="00D85CAD" w:rsidP="009760E7">
      <w:pPr>
        <w:spacing w:line="240" w:lineRule="auto"/>
        <w:jc w:val="center"/>
        <w:rPr>
          <w:noProof/>
          <w:sz w:val="24"/>
        </w:rPr>
      </w:pPr>
    </w:p>
    <w:p w:rsidR="00D85CAD" w:rsidRPr="008C5B71" w:rsidRDefault="00D85CAD" w:rsidP="00071551">
      <w:pPr>
        <w:jc w:val="center"/>
        <w:rPr>
          <w:sz w:val="24"/>
        </w:rPr>
      </w:pPr>
    </w:p>
    <w:p w:rsidR="00D85CAD" w:rsidRPr="008C5B71" w:rsidRDefault="00D85CAD">
      <w:pPr>
        <w:jc w:val="center"/>
        <w:rPr>
          <w:sz w:val="24"/>
        </w:rPr>
      </w:pPr>
    </w:p>
    <w:p w:rsidR="00810676" w:rsidRDefault="00A36E3C"/>
    <w:sectPr w:rsidR="00810676" w:rsidSect="00391D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85CAD"/>
    <w:rsid w:val="001D6A34"/>
    <w:rsid w:val="00427DC8"/>
    <w:rsid w:val="008658C4"/>
    <w:rsid w:val="00A36E3C"/>
    <w:rsid w:val="00D85CAD"/>
    <w:rsid w:val="00F014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C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CAD"/>
    <w:rPr>
      <w:rFonts w:ascii="Tahoma" w:hAnsi="Tahoma" w:cs="Tahoma"/>
      <w:sz w:val="16"/>
      <w:szCs w:val="16"/>
    </w:rPr>
  </w:style>
  <w:style w:type="character" w:styleId="CommentReference">
    <w:name w:val="annotation reference"/>
    <w:basedOn w:val="DefaultParagraphFont"/>
    <w:uiPriority w:val="99"/>
    <w:semiHidden/>
    <w:unhideWhenUsed/>
    <w:rsid w:val="00D85CAD"/>
    <w:rPr>
      <w:sz w:val="16"/>
      <w:szCs w:val="16"/>
    </w:rPr>
  </w:style>
  <w:style w:type="paragraph" w:styleId="CommentText">
    <w:name w:val="annotation text"/>
    <w:basedOn w:val="Normal"/>
    <w:link w:val="CommentTextChar"/>
    <w:uiPriority w:val="99"/>
    <w:semiHidden/>
    <w:unhideWhenUsed/>
    <w:rsid w:val="00D85CAD"/>
    <w:pPr>
      <w:spacing w:line="240" w:lineRule="auto"/>
    </w:pPr>
    <w:rPr>
      <w:sz w:val="20"/>
      <w:szCs w:val="20"/>
    </w:rPr>
  </w:style>
  <w:style w:type="character" w:customStyle="1" w:styleId="CommentTextChar">
    <w:name w:val="Comment Text Char"/>
    <w:basedOn w:val="DefaultParagraphFont"/>
    <w:link w:val="CommentText"/>
    <w:uiPriority w:val="99"/>
    <w:semiHidden/>
    <w:rsid w:val="00D85CAD"/>
    <w:rPr>
      <w:sz w:val="20"/>
      <w:szCs w:val="20"/>
    </w:rPr>
  </w:style>
  <w:style w:type="paragraph" w:styleId="CommentSubject">
    <w:name w:val="annotation subject"/>
    <w:basedOn w:val="CommentText"/>
    <w:next w:val="CommentText"/>
    <w:link w:val="CommentSubjectChar"/>
    <w:uiPriority w:val="99"/>
    <w:semiHidden/>
    <w:unhideWhenUsed/>
    <w:rsid w:val="00D85CAD"/>
    <w:rPr>
      <w:b/>
      <w:bCs/>
    </w:rPr>
  </w:style>
  <w:style w:type="character" w:customStyle="1" w:styleId="CommentSubjectChar">
    <w:name w:val="Comment Subject Char"/>
    <w:basedOn w:val="CommentTextChar"/>
    <w:link w:val="CommentSubject"/>
    <w:uiPriority w:val="99"/>
    <w:semiHidden/>
    <w:rsid w:val="00D85CAD"/>
    <w:rPr>
      <w:b/>
      <w:bCs/>
      <w:sz w:val="20"/>
      <w:szCs w:val="20"/>
    </w:rPr>
  </w:style>
  <w:style w:type="paragraph" w:styleId="ListParagraph">
    <w:name w:val="List Paragraph"/>
    <w:basedOn w:val="Normal"/>
    <w:uiPriority w:val="34"/>
    <w:qFormat/>
    <w:rsid w:val="00D85CAD"/>
    <w:pPr>
      <w:ind w:left="720"/>
      <w:contextualSpacing/>
    </w:pPr>
  </w:style>
  <w:style w:type="table" w:styleId="TableGrid">
    <w:name w:val="Table Grid"/>
    <w:basedOn w:val="TableNormal"/>
    <w:uiPriority w:val="59"/>
    <w:rsid w:val="00D8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5CA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C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CAD"/>
    <w:rPr>
      <w:rFonts w:ascii="Tahoma" w:hAnsi="Tahoma" w:cs="Tahoma"/>
      <w:sz w:val="16"/>
      <w:szCs w:val="16"/>
    </w:rPr>
  </w:style>
  <w:style w:type="character" w:styleId="CommentReference">
    <w:name w:val="annotation reference"/>
    <w:basedOn w:val="DefaultParagraphFont"/>
    <w:uiPriority w:val="99"/>
    <w:semiHidden/>
    <w:unhideWhenUsed/>
    <w:rsid w:val="00D85CAD"/>
    <w:rPr>
      <w:sz w:val="16"/>
      <w:szCs w:val="16"/>
    </w:rPr>
  </w:style>
  <w:style w:type="paragraph" w:styleId="CommentText">
    <w:name w:val="annotation text"/>
    <w:basedOn w:val="Normal"/>
    <w:link w:val="CommentTextChar"/>
    <w:uiPriority w:val="99"/>
    <w:semiHidden/>
    <w:unhideWhenUsed/>
    <w:rsid w:val="00D85CAD"/>
    <w:pPr>
      <w:spacing w:line="240" w:lineRule="auto"/>
    </w:pPr>
    <w:rPr>
      <w:sz w:val="20"/>
      <w:szCs w:val="20"/>
    </w:rPr>
  </w:style>
  <w:style w:type="character" w:customStyle="1" w:styleId="CommentTextChar">
    <w:name w:val="Comment Text Char"/>
    <w:basedOn w:val="DefaultParagraphFont"/>
    <w:link w:val="CommentText"/>
    <w:uiPriority w:val="99"/>
    <w:semiHidden/>
    <w:rsid w:val="00D85CAD"/>
    <w:rPr>
      <w:sz w:val="20"/>
      <w:szCs w:val="20"/>
    </w:rPr>
  </w:style>
  <w:style w:type="paragraph" w:styleId="CommentSubject">
    <w:name w:val="annotation subject"/>
    <w:basedOn w:val="CommentText"/>
    <w:next w:val="CommentText"/>
    <w:link w:val="CommentSubjectChar"/>
    <w:uiPriority w:val="99"/>
    <w:semiHidden/>
    <w:unhideWhenUsed/>
    <w:rsid w:val="00D85CAD"/>
    <w:rPr>
      <w:b/>
      <w:bCs/>
    </w:rPr>
  </w:style>
  <w:style w:type="character" w:customStyle="1" w:styleId="CommentSubjectChar">
    <w:name w:val="Comment Subject Char"/>
    <w:basedOn w:val="CommentTextChar"/>
    <w:link w:val="CommentSubject"/>
    <w:uiPriority w:val="99"/>
    <w:semiHidden/>
    <w:rsid w:val="00D85CAD"/>
    <w:rPr>
      <w:b/>
      <w:bCs/>
      <w:sz w:val="20"/>
      <w:szCs w:val="20"/>
    </w:rPr>
  </w:style>
  <w:style w:type="paragraph" w:styleId="ListParagraph">
    <w:name w:val="List Paragraph"/>
    <w:basedOn w:val="Normal"/>
    <w:uiPriority w:val="34"/>
    <w:qFormat/>
    <w:rsid w:val="00D85CAD"/>
    <w:pPr>
      <w:ind w:left="720"/>
      <w:contextualSpacing/>
    </w:pPr>
  </w:style>
  <w:style w:type="table" w:styleId="TableGrid">
    <w:name w:val="Table Grid"/>
    <w:basedOn w:val="TableNormal"/>
    <w:uiPriority w:val="59"/>
    <w:rsid w:val="00D8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5C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934</Words>
  <Characters>5327</Characters>
  <Application>Microsoft Office Word</Application>
  <DocSecurity>0</DocSecurity>
  <Lines>44</Lines>
  <Paragraphs>12</Paragraphs>
  <ScaleCrop>false</ScaleCrop>
  <Company/>
  <LinksUpToDate>false</LinksUpToDate>
  <CharactersWithSpaces>6249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Jie Deng</dc:creator>
  <cp:lastModifiedBy>Jie Deng</cp:lastModifiedBy>
  <cp:revision>4</cp:revision>
  <dcterms:created xsi:type="dcterms:W3CDTF">2014-11-03T17:32:00Z</dcterms:created>
  <dcterms:modified xsi:type="dcterms:W3CDTF">2014-12-02T22:06:00Z</dcterms:modified>
</cp:coreProperties>
</file>