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B20DC" w14:textId="6A17FB02" w:rsidR="00FA5B49" w:rsidRPr="00A21E55" w:rsidRDefault="001F3D11" w:rsidP="00A21E5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056DB2" wp14:editId="47F0F984">
            <wp:extent cx="5943600" cy="2922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_sampl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8638" w14:textId="2832356D" w:rsidR="00901C74" w:rsidRPr="00A21E55" w:rsidRDefault="00901C74">
      <w:pPr>
        <w:rPr>
          <w:rFonts w:ascii="Times New Roman" w:hAnsi="Times New Roman" w:cs="Times New Roman"/>
          <w:sz w:val="24"/>
          <w:szCs w:val="24"/>
        </w:rPr>
      </w:pPr>
      <w:r w:rsidRPr="00A21E55">
        <w:rPr>
          <w:rFonts w:ascii="Times New Roman" w:hAnsi="Times New Roman" w:cs="Times New Roman"/>
          <w:sz w:val="24"/>
          <w:szCs w:val="24"/>
        </w:rPr>
        <w:t xml:space="preserve">Figure S1. </w:t>
      </w:r>
      <w:r w:rsidR="00A21E55" w:rsidRPr="00A21E55">
        <w:rPr>
          <w:rFonts w:ascii="Times New Roman" w:hAnsi="Times New Roman" w:cs="Times New Roman"/>
          <w:sz w:val="24"/>
          <w:szCs w:val="24"/>
        </w:rPr>
        <w:t>The location of six forest ecosystems selected in this study (left) and the nested</w:t>
      </w:r>
      <w:r w:rsidR="006352AA">
        <w:rPr>
          <w:rFonts w:ascii="Times New Roman" w:hAnsi="Times New Roman" w:cs="Times New Roman"/>
          <w:sz w:val="24"/>
          <w:szCs w:val="24"/>
        </w:rPr>
        <w:t xml:space="preserve"> </w:t>
      </w:r>
      <w:r w:rsidR="00A21E55" w:rsidRPr="00A21E55">
        <w:rPr>
          <w:rFonts w:ascii="Times New Roman" w:hAnsi="Times New Roman" w:cs="Times New Roman"/>
          <w:sz w:val="24"/>
          <w:szCs w:val="24"/>
        </w:rPr>
        <w:t>sampling design</w:t>
      </w:r>
      <w:r w:rsidR="002D3BC3">
        <w:rPr>
          <w:rFonts w:ascii="Times New Roman" w:hAnsi="Times New Roman" w:cs="Times New Roman"/>
          <w:sz w:val="24"/>
          <w:szCs w:val="24"/>
        </w:rPr>
        <w:t xml:space="preserve"> (right)</w:t>
      </w:r>
      <w:r w:rsidR="00A21E55" w:rsidRPr="00A21E55">
        <w:rPr>
          <w:rFonts w:ascii="Times New Roman" w:hAnsi="Times New Roman" w:cs="Times New Roman"/>
          <w:sz w:val="24"/>
          <w:szCs w:val="24"/>
        </w:rPr>
        <w:t xml:space="preserve"> implemented for sample collection in each site.  </w:t>
      </w:r>
    </w:p>
    <w:p w14:paraId="2461D435" w14:textId="4AC0104A" w:rsidR="00047F26" w:rsidRDefault="00245870">
      <w:pPr>
        <w:rPr>
          <w:rFonts w:ascii="Times New Roman" w:hAnsi="Times New Roman" w:cs="Times New Roman"/>
          <w:sz w:val="24"/>
          <w:szCs w:val="24"/>
        </w:rPr>
      </w:pPr>
      <w:r w:rsidRPr="00A21E55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453DB196" w14:textId="77777777" w:rsidR="00047F26" w:rsidRDefault="00047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10E537" w14:textId="6A4F6090" w:rsidR="00047F26" w:rsidRDefault="000A6A49">
      <w:pPr>
        <w:rPr>
          <w:rFonts w:ascii="Times New Roman" w:hAnsi="Times New Roman" w:cs="Times New Roman"/>
          <w:sz w:val="24"/>
          <w:szCs w:val="24"/>
        </w:rPr>
      </w:pPr>
      <w:r w:rsidRPr="00AE3F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385460" wp14:editId="78AA096B">
            <wp:extent cx="5943600" cy="2408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o1_shannon_alph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6C221" w14:textId="6467485D" w:rsidR="00A21E55" w:rsidRDefault="00047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S2. </w:t>
      </w:r>
      <w:r w:rsidR="000A6A49">
        <w:rPr>
          <w:rFonts w:ascii="Times New Roman" w:hAnsi="Times New Roman" w:cs="Times New Roman"/>
          <w:sz w:val="24"/>
          <w:szCs w:val="24"/>
        </w:rPr>
        <w:t xml:space="preserve">Rarefaction analysis of Chao1 richness </w:t>
      </w:r>
      <w:r w:rsidR="00DD1F12">
        <w:rPr>
          <w:rFonts w:ascii="Times New Roman" w:hAnsi="Times New Roman" w:cs="Times New Roman"/>
          <w:sz w:val="24"/>
          <w:szCs w:val="24"/>
        </w:rPr>
        <w:t xml:space="preserve">(A) </w:t>
      </w:r>
      <w:r w:rsidR="000A6A49">
        <w:rPr>
          <w:rFonts w:ascii="Times New Roman" w:hAnsi="Times New Roman" w:cs="Times New Roman"/>
          <w:sz w:val="24"/>
          <w:szCs w:val="24"/>
        </w:rPr>
        <w:t xml:space="preserve">and Shannon diversity index </w:t>
      </w:r>
      <w:r w:rsidR="00DD1F12">
        <w:rPr>
          <w:rFonts w:ascii="Times New Roman" w:hAnsi="Times New Roman" w:cs="Times New Roman"/>
          <w:sz w:val="24"/>
          <w:szCs w:val="24"/>
        </w:rPr>
        <w:t xml:space="preserve">(B) </w:t>
      </w:r>
      <w:r w:rsidR="000A6A49">
        <w:rPr>
          <w:rFonts w:ascii="Times New Roman" w:hAnsi="Times New Roman" w:cs="Times New Roman"/>
          <w:sz w:val="24"/>
          <w:szCs w:val="24"/>
        </w:rPr>
        <w:t xml:space="preserve">in each sample across the six forests. </w:t>
      </w:r>
      <w:r w:rsidR="00AE3FBA">
        <w:rPr>
          <w:rFonts w:ascii="Times New Roman" w:hAnsi="Times New Roman" w:cs="Times New Roman"/>
          <w:sz w:val="24"/>
          <w:szCs w:val="24"/>
        </w:rPr>
        <w:t xml:space="preserve">A random resampling effort of 8000 sequences per sample was performed. </w:t>
      </w:r>
      <w:r w:rsidR="00A21E55" w:rsidRPr="00A21E55">
        <w:rPr>
          <w:rFonts w:ascii="Times New Roman" w:hAnsi="Times New Roman" w:cs="Times New Roman"/>
          <w:sz w:val="24"/>
          <w:szCs w:val="24"/>
        </w:rPr>
        <w:br w:type="page"/>
      </w:r>
      <w:r w:rsidR="00312F15" w:rsidRPr="00AE3F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E70470" wp14:editId="378647DF">
            <wp:extent cx="5943600" cy="167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_taxonom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53C3" w14:textId="12DB2B8A" w:rsidR="008B28CF" w:rsidRDefault="008B28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DD1F1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34047">
        <w:rPr>
          <w:rFonts w:ascii="Times New Roman" w:hAnsi="Times New Roman" w:cs="Times New Roman"/>
          <w:noProof/>
          <w:sz w:val="24"/>
          <w:szCs w:val="24"/>
        </w:rPr>
        <w:t xml:space="preserve">The phylogenetic (A) and taxonomic (B) composition of soil diazotrophs.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All forest ecosystems were dominated by </w:t>
      </w:r>
      <w:r w:rsidR="00312F15">
        <w:rPr>
          <w:rFonts w:ascii="Times New Roman" w:hAnsi="Times New Roman" w:cs="Times New Roman"/>
          <w:noProof/>
          <w:sz w:val="24"/>
          <w:szCs w:val="24"/>
        </w:rPr>
        <w:t xml:space="preserve">type </w:t>
      </w:r>
      <w:r>
        <w:rPr>
          <w:rFonts w:ascii="Times New Roman" w:hAnsi="Times New Roman" w:cs="Times New Roman"/>
          <w:noProof/>
          <w:sz w:val="24"/>
          <w:szCs w:val="24"/>
        </w:rPr>
        <w:t>B and alphaproteobacteria, and markedly different compositions could be observed for less dominant taxonomic groups.</w:t>
      </w:r>
      <w:r w:rsidR="00312F15">
        <w:rPr>
          <w:rFonts w:ascii="Times New Roman" w:hAnsi="Times New Roman" w:cs="Times New Roman"/>
          <w:noProof/>
          <w:sz w:val="24"/>
          <w:szCs w:val="24"/>
        </w:rPr>
        <w:t xml:space="preserve"> Types of </w:t>
      </w:r>
      <w:r w:rsidR="00312F15" w:rsidRPr="00312F15">
        <w:rPr>
          <w:rFonts w:ascii="Times New Roman" w:hAnsi="Times New Roman" w:cs="Times New Roman"/>
          <w:i/>
          <w:noProof/>
          <w:sz w:val="24"/>
          <w:szCs w:val="24"/>
        </w:rPr>
        <w:t>nifH</w:t>
      </w:r>
      <w:r w:rsidR="00312F15">
        <w:rPr>
          <w:rFonts w:ascii="Times New Roman" w:hAnsi="Times New Roman" w:cs="Times New Roman"/>
          <w:noProof/>
          <w:sz w:val="24"/>
          <w:szCs w:val="24"/>
        </w:rPr>
        <w:t xml:space="preserve"> genes were defined according to the Young groups</w:t>
      </w:r>
      <w:r w:rsidR="00AE3FBA">
        <w:rPr>
          <w:rFonts w:ascii="Times New Roman" w:hAnsi="Times New Roman" w:cs="Times New Roman"/>
          <w:noProof/>
          <w:sz w:val="24"/>
          <w:szCs w:val="24"/>
        </w:rPr>
        <w:t xml:space="preserve"> (Young, 2005)</w:t>
      </w:r>
      <w:r w:rsidR="00312F15">
        <w:rPr>
          <w:rFonts w:ascii="Times New Roman" w:hAnsi="Times New Roman" w:cs="Times New Roman"/>
          <w:noProof/>
          <w:sz w:val="24"/>
          <w:szCs w:val="24"/>
        </w:rPr>
        <w:t xml:space="preserve">, in which type A refers to Mo-independent nitrogenase, B to “bacterial” Mo-dependent nitrogenase, C to “clostridial” Mo-dependent nitrogenase, and D to uncharacterized nitrogenase. </w:t>
      </w:r>
    </w:p>
    <w:p w14:paraId="4BF44FA2" w14:textId="77777777" w:rsidR="005B7578" w:rsidRDefault="005B7578">
      <w:pPr>
        <w:rPr>
          <w:rFonts w:ascii="Times New Roman" w:hAnsi="Times New Roman" w:cs="Times New Roman"/>
          <w:sz w:val="24"/>
          <w:szCs w:val="24"/>
        </w:rPr>
      </w:pPr>
    </w:p>
    <w:p w14:paraId="769FD3FD" w14:textId="77777777" w:rsidR="005B7578" w:rsidRDefault="005B7578">
      <w:pPr>
        <w:rPr>
          <w:rFonts w:ascii="Times New Roman" w:hAnsi="Times New Roman" w:cs="Times New Roman"/>
          <w:sz w:val="24"/>
          <w:szCs w:val="24"/>
        </w:rPr>
      </w:pPr>
    </w:p>
    <w:p w14:paraId="5E75075F" w14:textId="77777777" w:rsidR="00304C73" w:rsidRDefault="005B7578" w:rsidP="00304C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40D171" w14:textId="6BAD017A" w:rsidR="00304C73" w:rsidRDefault="00304C73" w:rsidP="00304C73">
      <w:pPr>
        <w:jc w:val="both"/>
        <w:rPr>
          <w:rFonts w:ascii="Times New Roman" w:hAnsi="Times New Roman" w:cs="Times New Roman"/>
          <w:sz w:val="24"/>
          <w:szCs w:val="24"/>
        </w:rPr>
      </w:pPr>
      <w:r w:rsidRPr="00AE3F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220A64" wp14:editId="7425DD70">
            <wp:extent cx="6132286" cy="5365750"/>
            <wp:effectExtent l="0" t="0" r="1905" b="6350"/>
            <wp:docPr id="7" name="Picture 7" descr="D:\360yun\PRIORITY\Macro_nifH\V1\4submission\Molecular Ecology\R1\Fig2_dominantcor 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yun\PRIORITY\Macro_nifH\V1\4submission\Molecular Ecology\R1\Fig2_dominantcor copy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6FDD" w14:textId="7D220C4B" w:rsidR="00304C73" w:rsidRPr="000A7DF4" w:rsidRDefault="00DD1F12" w:rsidP="00304C7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Figure S4</w:t>
      </w:r>
      <w:r w:rsidR="00304C73">
        <w:rPr>
          <w:rFonts w:ascii="Times New Roman" w:hAnsi="Times New Roman" w:cs="Times New Roman"/>
          <w:sz w:val="24"/>
          <w:szCs w:val="24"/>
        </w:rPr>
        <w:t xml:space="preserve">. </w:t>
      </w:r>
      <w:r w:rsidR="00304C73">
        <w:rPr>
          <w:rFonts w:ascii="Times New Roman" w:hAnsi="Times New Roman" w:cs="Times New Roman"/>
        </w:rPr>
        <w:t xml:space="preserve">Dominant </w:t>
      </w:r>
      <w:proofErr w:type="spellStart"/>
      <w:r w:rsidR="00304C73" w:rsidRPr="000A7DF4">
        <w:rPr>
          <w:rFonts w:ascii="Times New Roman" w:hAnsi="Times New Roman" w:cs="Times New Roman"/>
          <w:i/>
        </w:rPr>
        <w:t>nifH</w:t>
      </w:r>
      <w:proofErr w:type="spellEnd"/>
      <w:r w:rsidR="00304C73">
        <w:rPr>
          <w:rFonts w:ascii="Times New Roman" w:hAnsi="Times New Roman" w:cs="Times New Roman"/>
        </w:rPr>
        <w:t xml:space="preserve"> OTUs that present in &gt;50% samples and</w:t>
      </w:r>
      <w:r w:rsidR="006352AA">
        <w:rPr>
          <w:rFonts w:ascii="Times New Roman" w:hAnsi="Times New Roman" w:cs="Times New Roman"/>
        </w:rPr>
        <w:t xml:space="preserve"> with </w:t>
      </w:r>
      <w:r w:rsidR="00304C73">
        <w:rPr>
          <w:rFonts w:ascii="Times New Roman" w:hAnsi="Times New Roman" w:cs="Times New Roman"/>
        </w:rPr>
        <w:t xml:space="preserve">&gt;0.5% relative abundance. Distinctly different </w:t>
      </w:r>
      <w:proofErr w:type="spellStart"/>
      <w:r w:rsidR="00304C73" w:rsidRPr="000A7DF4">
        <w:rPr>
          <w:rFonts w:ascii="Times New Roman" w:hAnsi="Times New Roman" w:cs="Times New Roman"/>
          <w:i/>
        </w:rPr>
        <w:t>nifH</w:t>
      </w:r>
      <w:proofErr w:type="spellEnd"/>
      <w:r w:rsidR="00304C73">
        <w:rPr>
          <w:rFonts w:ascii="Times New Roman" w:hAnsi="Times New Roman" w:cs="Times New Roman"/>
        </w:rPr>
        <w:t xml:space="preserve"> OTU compositions were observed across different forest ecosystems. </w:t>
      </w:r>
    </w:p>
    <w:p w14:paraId="6C947E74" w14:textId="3A988858" w:rsidR="00304C73" w:rsidRDefault="00304C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C41790" w14:textId="77777777" w:rsidR="005B7578" w:rsidRDefault="005B75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B3D9BF" wp14:editId="7FB52815">
            <wp:extent cx="5305044" cy="4297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3_C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044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A6AF" w14:textId="34444405" w:rsidR="008B28CF" w:rsidRPr="00A21E55" w:rsidRDefault="005B7578" w:rsidP="009214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DD1F1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Canonical correspondence analysis of </w:t>
      </w:r>
      <w:proofErr w:type="spellStart"/>
      <w:r w:rsidR="009214F8" w:rsidRPr="009214F8">
        <w:rPr>
          <w:rFonts w:ascii="Times New Roman" w:hAnsi="Times New Roman" w:cs="Times New Roman"/>
          <w:i/>
          <w:sz w:val="24"/>
          <w:szCs w:val="24"/>
        </w:rPr>
        <w:t>nifH</w:t>
      </w:r>
      <w:proofErr w:type="spellEnd"/>
      <w:r w:rsidR="009214F8">
        <w:rPr>
          <w:rFonts w:ascii="Times New Roman" w:hAnsi="Times New Roman" w:cs="Times New Roman"/>
          <w:sz w:val="24"/>
          <w:szCs w:val="24"/>
        </w:rPr>
        <w:t xml:space="preserve"> OTU abundance profiles and environmental factors. The results indicated that latitude, temperature, precipitation and plant species richness </w:t>
      </w:r>
      <w:r w:rsidR="006352AA">
        <w:rPr>
          <w:rFonts w:ascii="Times New Roman" w:hAnsi="Times New Roman" w:cs="Times New Roman"/>
          <w:sz w:val="24"/>
          <w:szCs w:val="24"/>
        </w:rPr>
        <w:t xml:space="preserve">were </w:t>
      </w:r>
      <w:r w:rsidR="009214F8">
        <w:rPr>
          <w:rFonts w:ascii="Times New Roman" w:hAnsi="Times New Roman" w:cs="Times New Roman"/>
          <w:sz w:val="24"/>
          <w:szCs w:val="24"/>
        </w:rPr>
        <w:t xml:space="preserve">the major factors shaping the structure of soil </w:t>
      </w:r>
      <w:proofErr w:type="spellStart"/>
      <w:r w:rsidR="009214F8">
        <w:rPr>
          <w:rFonts w:ascii="Times New Roman" w:hAnsi="Times New Roman" w:cs="Times New Roman"/>
          <w:sz w:val="24"/>
          <w:szCs w:val="24"/>
        </w:rPr>
        <w:t>diazotrophic</w:t>
      </w:r>
      <w:proofErr w:type="spellEnd"/>
      <w:r w:rsidR="009214F8">
        <w:rPr>
          <w:rFonts w:ascii="Times New Roman" w:hAnsi="Times New Roman" w:cs="Times New Roman"/>
          <w:sz w:val="24"/>
          <w:szCs w:val="24"/>
        </w:rPr>
        <w:t xml:space="preserve"> communities.  </w:t>
      </w:r>
      <w:r w:rsidR="008B28CF">
        <w:rPr>
          <w:rFonts w:ascii="Times New Roman" w:hAnsi="Times New Roman" w:cs="Times New Roman"/>
          <w:sz w:val="24"/>
          <w:szCs w:val="24"/>
        </w:rPr>
        <w:br w:type="page"/>
      </w:r>
    </w:p>
    <w:p w14:paraId="24AF6A55" w14:textId="77777777" w:rsidR="00245870" w:rsidRPr="00A21E55" w:rsidRDefault="00C449E8">
      <w:pPr>
        <w:rPr>
          <w:rFonts w:ascii="Times New Roman" w:hAnsi="Times New Roman" w:cs="Times New Roman"/>
          <w:sz w:val="24"/>
          <w:szCs w:val="24"/>
        </w:rPr>
      </w:pPr>
      <w:r w:rsidRPr="00A21E55">
        <w:rPr>
          <w:rFonts w:ascii="Times New Roman" w:hAnsi="Times New Roman" w:cs="Times New Roman"/>
          <w:sz w:val="24"/>
          <w:szCs w:val="24"/>
        </w:rPr>
        <w:lastRenderedPageBreak/>
        <w:t>Table S1</w:t>
      </w:r>
      <w:r w:rsidR="00245870" w:rsidRPr="00A21E55">
        <w:rPr>
          <w:rFonts w:ascii="Times New Roman" w:hAnsi="Times New Roman" w:cs="Times New Roman"/>
          <w:sz w:val="24"/>
          <w:szCs w:val="24"/>
        </w:rPr>
        <w:t xml:space="preserve">. </w:t>
      </w:r>
      <w:r w:rsidR="00A21E55" w:rsidRPr="00A21E55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Significance tests of community structure between different forest ecosystems with three different statistical approaches.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245870" w:rsidRPr="00A21E55" w14:paraId="01914A09" w14:textId="77777777" w:rsidTr="00FB55B9">
        <w:trPr>
          <w:jc w:val="center"/>
        </w:trPr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14:paraId="788F01C9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48417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C3ACC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B89927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BCI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81600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CWT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0FDFB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HFR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C42F4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LUQ</w:t>
            </w:r>
          </w:p>
        </w:tc>
      </w:tr>
      <w:tr w:rsidR="00245870" w:rsidRPr="00A21E55" w14:paraId="7A4407C8" w14:textId="77777777" w:rsidTr="00245870">
        <w:trPr>
          <w:jc w:val="center"/>
        </w:trPr>
        <w:tc>
          <w:tcPr>
            <w:tcW w:w="1368" w:type="dxa"/>
            <w:vMerge w:val="restart"/>
            <w:tcBorders>
              <w:top w:val="single" w:sz="4" w:space="0" w:color="auto"/>
            </w:tcBorders>
            <w:vAlign w:val="center"/>
          </w:tcPr>
          <w:p w14:paraId="3DD1E202" w14:textId="77777777" w:rsidR="00245870" w:rsidRPr="00A21E55" w:rsidRDefault="00A21E55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ANOSIM</w:t>
            </w:r>
          </w:p>
          <w:p w14:paraId="37D83D0C" w14:textId="77777777" w:rsidR="00A21E55" w:rsidRPr="00A21E55" w:rsidRDefault="00A21E55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R (P-value)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7DAABDE3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BCI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1A43A713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306D5640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6D92A0A0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2D290FFD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1B572C1D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70" w:rsidRPr="00A21E55" w14:paraId="119F6513" w14:textId="77777777" w:rsidTr="00245870">
        <w:trPr>
          <w:jc w:val="center"/>
        </w:trPr>
        <w:tc>
          <w:tcPr>
            <w:tcW w:w="1368" w:type="dxa"/>
            <w:vMerge/>
            <w:vAlign w:val="center"/>
          </w:tcPr>
          <w:p w14:paraId="1EEB8D27" w14:textId="77777777" w:rsidR="00245870" w:rsidRPr="00A21E55" w:rsidRDefault="00245870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4D92D0A2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CWT</w:t>
            </w:r>
          </w:p>
        </w:tc>
        <w:tc>
          <w:tcPr>
            <w:tcW w:w="1368" w:type="dxa"/>
            <w:vAlign w:val="center"/>
          </w:tcPr>
          <w:p w14:paraId="145AAAED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vAlign w:val="center"/>
          </w:tcPr>
          <w:p w14:paraId="755BF1EE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1(0.001)</w:t>
            </w:r>
          </w:p>
        </w:tc>
        <w:tc>
          <w:tcPr>
            <w:tcW w:w="1368" w:type="dxa"/>
            <w:vAlign w:val="center"/>
          </w:tcPr>
          <w:p w14:paraId="635D1B43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05EBD773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43B4FECA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70" w:rsidRPr="00A21E55" w14:paraId="67CB999F" w14:textId="77777777" w:rsidTr="00245870">
        <w:trPr>
          <w:jc w:val="center"/>
        </w:trPr>
        <w:tc>
          <w:tcPr>
            <w:tcW w:w="1368" w:type="dxa"/>
            <w:vMerge/>
            <w:vAlign w:val="center"/>
          </w:tcPr>
          <w:p w14:paraId="2AF54DA4" w14:textId="77777777" w:rsidR="00245870" w:rsidRPr="00A21E55" w:rsidRDefault="00245870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1FB047D9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HFR</w:t>
            </w:r>
          </w:p>
        </w:tc>
        <w:tc>
          <w:tcPr>
            <w:tcW w:w="1368" w:type="dxa"/>
            <w:vAlign w:val="center"/>
          </w:tcPr>
          <w:p w14:paraId="48C11D4F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0.82(0.001)</w:t>
            </w:r>
          </w:p>
        </w:tc>
        <w:tc>
          <w:tcPr>
            <w:tcW w:w="1368" w:type="dxa"/>
            <w:vAlign w:val="center"/>
          </w:tcPr>
          <w:p w14:paraId="338E327F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vAlign w:val="center"/>
          </w:tcPr>
          <w:p w14:paraId="713400F5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0.82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vAlign w:val="center"/>
          </w:tcPr>
          <w:p w14:paraId="7315BA80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23A0B850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70" w:rsidRPr="00A21E55" w14:paraId="2D8390E7" w14:textId="77777777" w:rsidTr="00245870">
        <w:trPr>
          <w:jc w:val="center"/>
        </w:trPr>
        <w:tc>
          <w:tcPr>
            <w:tcW w:w="1368" w:type="dxa"/>
            <w:vMerge/>
            <w:vAlign w:val="center"/>
          </w:tcPr>
          <w:p w14:paraId="08D14A52" w14:textId="77777777" w:rsidR="00245870" w:rsidRPr="00A21E55" w:rsidRDefault="00245870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601CF24C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LUQ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51882487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6EEE1D7E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3FEE4B6E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33D0A117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6(0.001)</w:t>
            </w:r>
          </w:p>
        </w:tc>
        <w:tc>
          <w:tcPr>
            <w:tcW w:w="1368" w:type="dxa"/>
            <w:tcBorders>
              <w:bottom w:val="nil"/>
            </w:tcBorders>
            <w:vAlign w:val="center"/>
          </w:tcPr>
          <w:p w14:paraId="65C0B8EF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70" w:rsidRPr="00A21E55" w14:paraId="1C0BEEEE" w14:textId="77777777" w:rsidTr="00245870">
        <w:trPr>
          <w:jc w:val="center"/>
        </w:trPr>
        <w:tc>
          <w:tcPr>
            <w:tcW w:w="1368" w:type="dxa"/>
            <w:vMerge/>
            <w:tcBorders>
              <w:bottom w:val="single" w:sz="4" w:space="0" w:color="auto"/>
            </w:tcBorders>
            <w:vAlign w:val="center"/>
          </w:tcPr>
          <w:p w14:paraId="2B5AACDC" w14:textId="77777777" w:rsidR="00245870" w:rsidRPr="00A21E55" w:rsidRDefault="00245870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50A63D93" w14:textId="77777777" w:rsidR="00245870" w:rsidRPr="00A21E55" w:rsidRDefault="00245870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NWT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14951F73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37E43999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49826C9C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2B8D8832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6FAEB2BD" w14:textId="77777777" w:rsidR="00245870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  <w:r w:rsidR="00245870" w:rsidRPr="00A21E55">
              <w:rPr>
                <w:rFonts w:ascii="Times New Roman" w:hAnsi="Times New Roman" w:cs="Times New Roman"/>
                <w:sz w:val="24"/>
                <w:szCs w:val="24"/>
              </w:rPr>
              <w:t>(0.001)</w:t>
            </w:r>
          </w:p>
        </w:tc>
      </w:tr>
      <w:tr w:rsidR="002E1FD1" w:rsidRPr="00A21E55" w14:paraId="410839D4" w14:textId="77777777" w:rsidTr="00245870">
        <w:trPr>
          <w:jc w:val="center"/>
        </w:trPr>
        <w:tc>
          <w:tcPr>
            <w:tcW w:w="1368" w:type="dxa"/>
            <w:vMerge w:val="restart"/>
            <w:tcBorders>
              <w:top w:val="single" w:sz="4" w:space="0" w:color="auto"/>
            </w:tcBorders>
            <w:vAlign w:val="center"/>
          </w:tcPr>
          <w:p w14:paraId="10D9D417" w14:textId="77777777" w:rsidR="002E1FD1" w:rsidRPr="00A21E55" w:rsidRDefault="00A21E55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ADONIS</w:t>
            </w:r>
          </w:p>
          <w:p w14:paraId="0FAA2F9B" w14:textId="77777777" w:rsidR="00A21E55" w:rsidRPr="00A21E55" w:rsidRDefault="00A21E55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F (P-value)</w:t>
            </w:r>
          </w:p>
        </w:tc>
        <w:tc>
          <w:tcPr>
            <w:tcW w:w="1368" w:type="dxa"/>
            <w:tcBorders>
              <w:top w:val="single" w:sz="4" w:space="0" w:color="auto"/>
              <w:bottom w:val="nil"/>
            </w:tcBorders>
            <w:vAlign w:val="center"/>
          </w:tcPr>
          <w:p w14:paraId="0EF0F819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BCI</w:t>
            </w:r>
          </w:p>
        </w:tc>
        <w:tc>
          <w:tcPr>
            <w:tcW w:w="1368" w:type="dxa"/>
            <w:tcBorders>
              <w:top w:val="single" w:sz="4" w:space="0" w:color="auto"/>
              <w:bottom w:val="nil"/>
            </w:tcBorders>
            <w:vAlign w:val="center"/>
          </w:tcPr>
          <w:p w14:paraId="4D6A7FB1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0.29(0.001)</w:t>
            </w:r>
          </w:p>
        </w:tc>
        <w:tc>
          <w:tcPr>
            <w:tcW w:w="1368" w:type="dxa"/>
            <w:tcBorders>
              <w:top w:val="single" w:sz="4" w:space="0" w:color="auto"/>
              <w:bottom w:val="nil"/>
            </w:tcBorders>
            <w:vAlign w:val="center"/>
          </w:tcPr>
          <w:p w14:paraId="09B19460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nil"/>
            </w:tcBorders>
            <w:vAlign w:val="center"/>
          </w:tcPr>
          <w:p w14:paraId="7C95F000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nil"/>
            </w:tcBorders>
            <w:vAlign w:val="center"/>
          </w:tcPr>
          <w:p w14:paraId="1F253AFF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bottom w:val="nil"/>
            </w:tcBorders>
            <w:vAlign w:val="center"/>
          </w:tcPr>
          <w:p w14:paraId="7254FA03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FD1" w:rsidRPr="00A21E55" w14:paraId="007872F3" w14:textId="77777777" w:rsidTr="00245870">
        <w:trPr>
          <w:jc w:val="center"/>
        </w:trPr>
        <w:tc>
          <w:tcPr>
            <w:tcW w:w="1368" w:type="dxa"/>
            <w:vMerge/>
            <w:vAlign w:val="center"/>
          </w:tcPr>
          <w:p w14:paraId="739F53DA" w14:textId="77777777" w:rsidR="002E1FD1" w:rsidRPr="00A21E55" w:rsidRDefault="002E1FD1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4260CA3B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CWT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163B12FA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0.33(0.001)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7353B69E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0.45(0.001)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6D91B545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09E40B3C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0C8FB752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FD1" w:rsidRPr="00A21E55" w14:paraId="50D30195" w14:textId="77777777" w:rsidTr="00245870">
        <w:trPr>
          <w:jc w:val="center"/>
        </w:trPr>
        <w:tc>
          <w:tcPr>
            <w:tcW w:w="1368" w:type="dxa"/>
            <w:vMerge/>
            <w:vAlign w:val="center"/>
          </w:tcPr>
          <w:p w14:paraId="27DE838F" w14:textId="77777777" w:rsidR="002E1FD1" w:rsidRPr="00A21E55" w:rsidRDefault="002E1FD1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1E69D008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HFR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5C5E8208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0.24(0.001)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30AF5B2A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0.30(0.001)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52492BC7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0.38(0.001)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5C21631C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07E3FFA5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FD1" w:rsidRPr="00A21E55" w14:paraId="2AFBA3C0" w14:textId="77777777" w:rsidTr="00245870">
        <w:trPr>
          <w:jc w:val="center"/>
        </w:trPr>
        <w:tc>
          <w:tcPr>
            <w:tcW w:w="1368" w:type="dxa"/>
            <w:vMerge/>
            <w:vAlign w:val="center"/>
          </w:tcPr>
          <w:p w14:paraId="49F08426" w14:textId="77777777" w:rsidR="002E1FD1" w:rsidRPr="00A21E55" w:rsidRDefault="002E1FD1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2B0A8989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LUQ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4E4B1D8B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0.20(0.001)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32B92FFE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0.20(0.001)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0572FC98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0.34(0.001)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2750F41D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0.23(0.001)</w:t>
            </w:r>
          </w:p>
        </w:tc>
        <w:tc>
          <w:tcPr>
            <w:tcW w:w="1368" w:type="dxa"/>
            <w:tcBorders>
              <w:top w:val="nil"/>
              <w:bottom w:val="nil"/>
            </w:tcBorders>
            <w:vAlign w:val="center"/>
          </w:tcPr>
          <w:p w14:paraId="67B1CC68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FD1" w:rsidRPr="00A21E55" w14:paraId="242BC653" w14:textId="77777777" w:rsidTr="00245870">
        <w:trPr>
          <w:jc w:val="center"/>
        </w:trPr>
        <w:tc>
          <w:tcPr>
            <w:tcW w:w="1368" w:type="dxa"/>
            <w:vMerge/>
            <w:tcBorders>
              <w:bottom w:val="single" w:sz="4" w:space="0" w:color="auto"/>
            </w:tcBorders>
            <w:vAlign w:val="center"/>
          </w:tcPr>
          <w:p w14:paraId="12C5BACB" w14:textId="77777777" w:rsidR="002E1FD1" w:rsidRPr="00A21E55" w:rsidRDefault="002E1FD1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469BC082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NWT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60350EFF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0.21(0.001)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6E8D2952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0.29(0.001)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38772314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0.38(0.001)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4D898C82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0.21(0.001)</w:t>
            </w:r>
          </w:p>
        </w:tc>
        <w:tc>
          <w:tcPr>
            <w:tcW w:w="1368" w:type="dxa"/>
            <w:tcBorders>
              <w:top w:val="nil"/>
              <w:bottom w:val="single" w:sz="4" w:space="0" w:color="auto"/>
            </w:tcBorders>
            <w:vAlign w:val="center"/>
          </w:tcPr>
          <w:p w14:paraId="30E033B0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0.22(0.001)</w:t>
            </w:r>
          </w:p>
        </w:tc>
      </w:tr>
      <w:tr w:rsidR="002E1FD1" w:rsidRPr="00A21E55" w14:paraId="4A8E22EA" w14:textId="77777777" w:rsidTr="00245870">
        <w:trPr>
          <w:jc w:val="center"/>
        </w:trPr>
        <w:tc>
          <w:tcPr>
            <w:tcW w:w="1368" w:type="dxa"/>
            <w:vMerge w:val="restart"/>
            <w:tcBorders>
              <w:top w:val="single" w:sz="4" w:space="0" w:color="auto"/>
            </w:tcBorders>
            <w:vAlign w:val="center"/>
          </w:tcPr>
          <w:p w14:paraId="3E641A65" w14:textId="77777777" w:rsidR="002E1FD1" w:rsidRPr="00A21E55" w:rsidRDefault="00A21E55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MRPP</w:t>
            </w:r>
          </w:p>
          <w:p w14:paraId="21557008" w14:textId="77777777" w:rsidR="00A21E55" w:rsidRPr="00A21E55" w:rsidRDefault="00A21E55" w:rsidP="002458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δ (P-value)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65B7A67D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BCI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517B0378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0.72(0.001)</w:t>
            </w: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7740E84F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101D171D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470C631D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4143367D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FD1" w:rsidRPr="00A21E55" w14:paraId="2C1CFE7D" w14:textId="77777777" w:rsidTr="00FB55B9">
        <w:trPr>
          <w:jc w:val="center"/>
        </w:trPr>
        <w:tc>
          <w:tcPr>
            <w:tcW w:w="1368" w:type="dxa"/>
            <w:vMerge/>
          </w:tcPr>
          <w:p w14:paraId="49DE4C1D" w14:textId="77777777" w:rsidR="002E1FD1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701ADDF5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CWT</w:t>
            </w:r>
          </w:p>
        </w:tc>
        <w:tc>
          <w:tcPr>
            <w:tcW w:w="1368" w:type="dxa"/>
            <w:vAlign w:val="center"/>
          </w:tcPr>
          <w:p w14:paraId="51C1EFA5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0.61(0.001)</w:t>
            </w:r>
          </w:p>
        </w:tc>
        <w:tc>
          <w:tcPr>
            <w:tcW w:w="1368" w:type="dxa"/>
            <w:vAlign w:val="center"/>
          </w:tcPr>
          <w:p w14:paraId="18137FA9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0.57(0.001)</w:t>
            </w:r>
          </w:p>
        </w:tc>
        <w:tc>
          <w:tcPr>
            <w:tcW w:w="1368" w:type="dxa"/>
            <w:vAlign w:val="center"/>
          </w:tcPr>
          <w:p w14:paraId="3F152D64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2A7B3B9B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54AA80D3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FD1" w:rsidRPr="00A21E55" w14:paraId="1772B83D" w14:textId="77777777" w:rsidTr="00FB55B9">
        <w:trPr>
          <w:jc w:val="center"/>
        </w:trPr>
        <w:tc>
          <w:tcPr>
            <w:tcW w:w="1368" w:type="dxa"/>
            <w:vMerge/>
          </w:tcPr>
          <w:p w14:paraId="6F5BC119" w14:textId="77777777" w:rsidR="002E1FD1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2E0BC50F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HFR</w:t>
            </w:r>
          </w:p>
        </w:tc>
        <w:tc>
          <w:tcPr>
            <w:tcW w:w="1368" w:type="dxa"/>
            <w:vAlign w:val="center"/>
          </w:tcPr>
          <w:p w14:paraId="1493965C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0.77(0.001)</w:t>
            </w:r>
          </w:p>
        </w:tc>
        <w:tc>
          <w:tcPr>
            <w:tcW w:w="1368" w:type="dxa"/>
            <w:vAlign w:val="center"/>
          </w:tcPr>
          <w:p w14:paraId="7CFC0CF4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0.74(0.001)</w:t>
            </w:r>
          </w:p>
        </w:tc>
        <w:tc>
          <w:tcPr>
            <w:tcW w:w="1368" w:type="dxa"/>
            <w:vAlign w:val="center"/>
          </w:tcPr>
          <w:p w14:paraId="6C89DC0E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0.62(0.001)</w:t>
            </w:r>
          </w:p>
        </w:tc>
        <w:tc>
          <w:tcPr>
            <w:tcW w:w="1368" w:type="dxa"/>
            <w:vAlign w:val="center"/>
          </w:tcPr>
          <w:p w14:paraId="7FCC092E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518932E7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FD1" w:rsidRPr="00A21E55" w14:paraId="097A4EB7" w14:textId="77777777" w:rsidTr="00FB55B9">
        <w:trPr>
          <w:jc w:val="center"/>
        </w:trPr>
        <w:tc>
          <w:tcPr>
            <w:tcW w:w="1368" w:type="dxa"/>
            <w:vMerge/>
          </w:tcPr>
          <w:p w14:paraId="2712BA5A" w14:textId="77777777" w:rsidR="002E1FD1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1483DF65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LUQ</w:t>
            </w:r>
          </w:p>
        </w:tc>
        <w:tc>
          <w:tcPr>
            <w:tcW w:w="1368" w:type="dxa"/>
            <w:vAlign w:val="center"/>
          </w:tcPr>
          <w:p w14:paraId="221DF139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0.78(0.001)</w:t>
            </w:r>
          </w:p>
        </w:tc>
        <w:tc>
          <w:tcPr>
            <w:tcW w:w="1368" w:type="dxa"/>
            <w:vAlign w:val="center"/>
          </w:tcPr>
          <w:p w14:paraId="71BBCEC7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0.74(0.001)</w:t>
            </w:r>
          </w:p>
        </w:tc>
        <w:tc>
          <w:tcPr>
            <w:tcW w:w="1368" w:type="dxa"/>
            <w:vAlign w:val="center"/>
          </w:tcPr>
          <w:p w14:paraId="4CF8958A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0.63(0.001)</w:t>
            </w:r>
          </w:p>
        </w:tc>
        <w:tc>
          <w:tcPr>
            <w:tcW w:w="1368" w:type="dxa"/>
            <w:vAlign w:val="center"/>
          </w:tcPr>
          <w:p w14:paraId="778DA2AD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0.79(0.001)</w:t>
            </w:r>
          </w:p>
        </w:tc>
        <w:tc>
          <w:tcPr>
            <w:tcW w:w="1368" w:type="dxa"/>
            <w:vAlign w:val="center"/>
          </w:tcPr>
          <w:p w14:paraId="0FA6B4FF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FD1" w:rsidRPr="00A21E55" w14:paraId="0726DB41" w14:textId="77777777" w:rsidTr="00FB55B9">
        <w:trPr>
          <w:jc w:val="center"/>
        </w:trPr>
        <w:tc>
          <w:tcPr>
            <w:tcW w:w="1368" w:type="dxa"/>
            <w:vMerge/>
          </w:tcPr>
          <w:p w14:paraId="342A7F2C" w14:textId="77777777" w:rsidR="002E1FD1" w:rsidRPr="00A21E55" w:rsidRDefault="002E1FD1" w:rsidP="00AE38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  <w:vAlign w:val="center"/>
          </w:tcPr>
          <w:p w14:paraId="5D5D99C4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NWT</w:t>
            </w:r>
          </w:p>
        </w:tc>
        <w:tc>
          <w:tcPr>
            <w:tcW w:w="1368" w:type="dxa"/>
            <w:vAlign w:val="center"/>
          </w:tcPr>
          <w:p w14:paraId="6AE0EBC9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0.78(0.001)</w:t>
            </w:r>
          </w:p>
        </w:tc>
        <w:tc>
          <w:tcPr>
            <w:tcW w:w="1368" w:type="dxa"/>
            <w:vAlign w:val="center"/>
          </w:tcPr>
          <w:p w14:paraId="51C27A53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0.75(0.001)</w:t>
            </w:r>
          </w:p>
        </w:tc>
        <w:tc>
          <w:tcPr>
            <w:tcW w:w="1368" w:type="dxa"/>
            <w:vAlign w:val="center"/>
          </w:tcPr>
          <w:p w14:paraId="2CDBA92E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0.63(0.001)</w:t>
            </w:r>
          </w:p>
        </w:tc>
        <w:tc>
          <w:tcPr>
            <w:tcW w:w="1368" w:type="dxa"/>
            <w:vAlign w:val="center"/>
          </w:tcPr>
          <w:p w14:paraId="01F61A30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0.80(0.001)</w:t>
            </w:r>
          </w:p>
        </w:tc>
        <w:tc>
          <w:tcPr>
            <w:tcW w:w="1368" w:type="dxa"/>
            <w:vAlign w:val="center"/>
          </w:tcPr>
          <w:p w14:paraId="59575A0F" w14:textId="77777777" w:rsidR="002E1FD1" w:rsidRPr="00A21E55" w:rsidRDefault="002E1FD1" w:rsidP="00951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E55">
              <w:rPr>
                <w:rFonts w:ascii="Times New Roman" w:hAnsi="Times New Roman" w:cs="Times New Roman"/>
                <w:sz w:val="24"/>
                <w:szCs w:val="24"/>
              </w:rPr>
              <w:t>0.80(0.001)</w:t>
            </w:r>
          </w:p>
        </w:tc>
      </w:tr>
    </w:tbl>
    <w:p w14:paraId="78B60302" w14:textId="77777777" w:rsidR="00114F47" w:rsidRPr="00A21E55" w:rsidRDefault="00114F47">
      <w:pPr>
        <w:rPr>
          <w:rFonts w:ascii="Times New Roman" w:hAnsi="Times New Roman" w:cs="Times New Roman"/>
          <w:sz w:val="24"/>
          <w:szCs w:val="24"/>
        </w:rPr>
      </w:pPr>
    </w:p>
    <w:sectPr w:rsidR="00114F47" w:rsidRPr="00A21E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EB3D3B" w15:done="0"/>
  <w15:commentEx w15:paraId="1E869E9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Zhili He">
    <w15:presenceInfo w15:providerId="Windows Live" w15:userId="076947886d0252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B0"/>
    <w:rsid w:val="00047F26"/>
    <w:rsid w:val="000A6A49"/>
    <w:rsid w:val="000E152D"/>
    <w:rsid w:val="00114F47"/>
    <w:rsid w:val="001F3D11"/>
    <w:rsid w:val="00245870"/>
    <w:rsid w:val="002D3BC3"/>
    <w:rsid w:val="002E1FD1"/>
    <w:rsid w:val="002E7B9A"/>
    <w:rsid w:val="00304C73"/>
    <w:rsid w:val="00312F15"/>
    <w:rsid w:val="00451035"/>
    <w:rsid w:val="00532AB0"/>
    <w:rsid w:val="005B336C"/>
    <w:rsid w:val="005B7578"/>
    <w:rsid w:val="00603943"/>
    <w:rsid w:val="006352AA"/>
    <w:rsid w:val="006B3BF7"/>
    <w:rsid w:val="00713342"/>
    <w:rsid w:val="00713E5F"/>
    <w:rsid w:val="008B28CF"/>
    <w:rsid w:val="00901C74"/>
    <w:rsid w:val="009214F8"/>
    <w:rsid w:val="00A21E55"/>
    <w:rsid w:val="00A7159F"/>
    <w:rsid w:val="00AE386A"/>
    <w:rsid w:val="00AE3FBA"/>
    <w:rsid w:val="00B27B9A"/>
    <w:rsid w:val="00C449E8"/>
    <w:rsid w:val="00D6787A"/>
    <w:rsid w:val="00DD1F12"/>
    <w:rsid w:val="00DE02BC"/>
    <w:rsid w:val="00E15349"/>
    <w:rsid w:val="00FA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540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38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C7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B2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8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8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B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B9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38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C7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B2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8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8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B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B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22DEC-8881-4E3F-AB56-A1CC35F08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Qichao</dc:creator>
  <cp:lastModifiedBy>Qichao</cp:lastModifiedBy>
  <cp:revision>2</cp:revision>
  <dcterms:created xsi:type="dcterms:W3CDTF">2016-03-23T07:10:00Z</dcterms:created>
  <dcterms:modified xsi:type="dcterms:W3CDTF">2016-03-23T07:10:00Z</dcterms:modified>
</cp:coreProperties>
</file>